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EBB9B" w14:textId="33A85C43" w:rsidR="00AF61EB" w:rsidRPr="00CA11BF" w:rsidRDefault="00CA11BF" w:rsidP="00CA11BF">
      <w:pPr>
        <w:keepNext/>
      </w:pPr>
      <w:r>
        <w:rPr>
          <w:noProof/>
        </w:rPr>
        <w:drawing>
          <wp:anchor distT="0" distB="0" distL="114300" distR="114300" simplePos="0" relativeHeight="251658240" behindDoc="0" locked="0" layoutInCell="1" allowOverlap="1" wp14:anchorId="31B2648E" wp14:editId="48809810">
            <wp:simplePos x="0" y="0"/>
            <wp:positionH relativeFrom="column">
              <wp:posOffset>4110990</wp:posOffset>
            </wp:positionH>
            <wp:positionV relativeFrom="paragraph">
              <wp:posOffset>236855</wp:posOffset>
            </wp:positionV>
            <wp:extent cx="1442720" cy="14427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DHYD TpHCM.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42720" cy="144272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5FCDE5F" wp14:editId="7F339981">
            <wp:extent cx="1392682" cy="173397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1.jpg"/>
                    <pic:cNvPicPr/>
                  </pic:nvPicPr>
                  <pic:blipFill rotWithShape="1">
                    <a:blip r:embed="rId5" cstate="print">
                      <a:extLst>
                        <a:ext uri="{28A0092B-C50C-407E-A947-70E740481C1C}">
                          <a14:useLocalDpi xmlns:a14="http://schemas.microsoft.com/office/drawing/2010/main" val="0"/>
                        </a:ext>
                      </a:extLst>
                    </a:blip>
                    <a:srcRect l="8348" b="14230"/>
                    <a:stretch/>
                  </pic:blipFill>
                  <pic:spPr bwMode="auto">
                    <a:xfrm>
                      <a:off x="0" y="0"/>
                      <a:ext cx="1408042" cy="1753097"/>
                    </a:xfrm>
                    <a:prstGeom prst="rect">
                      <a:avLst/>
                    </a:prstGeom>
                    <a:ln>
                      <a:noFill/>
                    </a:ln>
                    <a:extLst>
                      <a:ext uri="{53640926-AAD7-44D8-BBD7-CCE9431645EC}">
                        <a14:shadowObscured xmlns:a14="http://schemas.microsoft.com/office/drawing/2010/main"/>
                      </a:ext>
                    </a:extLst>
                  </pic:spPr>
                </pic:pic>
              </a:graphicData>
            </a:graphic>
          </wp:inline>
        </w:drawing>
      </w:r>
    </w:p>
    <w:p w14:paraId="5BDFF296" w14:textId="3310BE90" w:rsidR="00AF61EB" w:rsidRDefault="00AF61EB" w:rsidP="00074C9C">
      <w:pPr>
        <w:rPr>
          <w:rFonts w:eastAsia="MS PGothic"/>
          <w:b/>
          <w:color w:val="000000"/>
          <w:sz w:val="28"/>
          <w:szCs w:val="28"/>
        </w:rPr>
      </w:pPr>
    </w:p>
    <w:p w14:paraId="0F29B2B1" w14:textId="1B7A750B" w:rsidR="00CA11BF" w:rsidRPr="00C51EBB" w:rsidRDefault="00074C9C" w:rsidP="00C51EBB">
      <w:pPr>
        <w:jc w:val="center"/>
      </w:pPr>
      <w:r w:rsidRPr="00327F9B">
        <w:rPr>
          <w:rFonts w:eastAsia="MS PGothic"/>
          <w:b/>
          <w:color w:val="000000"/>
          <w:sz w:val="28"/>
          <w:szCs w:val="28"/>
        </w:rPr>
        <w:t xml:space="preserve">Title: </w:t>
      </w:r>
      <w:r w:rsidR="00E929C2">
        <w:rPr>
          <w:rFonts w:eastAsia="MS PGothic"/>
          <w:b/>
          <w:color w:val="000000"/>
          <w:sz w:val="28"/>
          <w:szCs w:val="28"/>
        </w:rPr>
        <w:t>Evalua</w:t>
      </w:r>
      <w:r w:rsidR="00C51EBB" w:rsidRPr="00C51EBB">
        <w:rPr>
          <w:rFonts w:eastAsia="MS PGothic"/>
          <w:b/>
          <w:color w:val="000000"/>
          <w:sz w:val="28"/>
          <w:szCs w:val="28"/>
        </w:rPr>
        <w:t>t</w:t>
      </w:r>
      <w:r w:rsidR="00E929C2">
        <w:rPr>
          <w:rFonts w:eastAsia="MS PGothic"/>
          <w:b/>
          <w:color w:val="000000"/>
          <w:sz w:val="28"/>
          <w:szCs w:val="28"/>
        </w:rPr>
        <w:t>ion</w:t>
      </w:r>
      <w:r w:rsidR="00E929C2" w:rsidRPr="00C51EBB">
        <w:rPr>
          <w:rFonts w:eastAsia="MS PGothic"/>
          <w:b/>
          <w:color w:val="000000"/>
          <w:sz w:val="28"/>
          <w:szCs w:val="28"/>
        </w:rPr>
        <w:t xml:space="preserve"> of efficacy of tissue autofluorescence imaging in the</w:t>
      </w:r>
      <w:r w:rsidR="00E929C2">
        <w:rPr>
          <w:rFonts w:eastAsia="MS PGothic"/>
          <w:b/>
          <w:color w:val="000000"/>
          <w:sz w:val="28"/>
          <w:szCs w:val="28"/>
          <w:lang w:val="vi-VN"/>
        </w:rPr>
        <w:t xml:space="preserve"> diagnosis of oral cancer</w:t>
      </w:r>
      <w:r>
        <w:rPr>
          <w:rFonts w:eastAsia="MS PGothic" w:hAnsi="Arial"/>
          <w:color w:val="000000"/>
        </w:rPr>
        <w:br/>
      </w:r>
    </w:p>
    <w:p w14:paraId="072B93E5" w14:textId="79CB813B" w:rsidR="00E929C2" w:rsidRPr="00CA11BF" w:rsidRDefault="005B4B32" w:rsidP="00CA11BF">
      <w:pPr>
        <w:ind w:left="720" w:firstLine="720"/>
        <w:rPr>
          <w:rFonts w:eastAsia="MS PGothic"/>
          <w:b/>
          <w:color w:val="000000"/>
          <w:sz w:val="28"/>
          <w:szCs w:val="28"/>
        </w:rPr>
      </w:pPr>
      <w:r>
        <w:rPr>
          <w:b/>
          <w:sz w:val="28"/>
          <w:szCs w:val="28"/>
        </w:rPr>
        <w:t xml:space="preserve">   </w:t>
      </w:r>
      <w:r w:rsidRPr="00327F9B">
        <w:rPr>
          <w:rFonts w:eastAsia="MS PGothic" w:hAnsi="Arial"/>
          <w:color w:val="000000"/>
        </w:rPr>
        <w:t xml:space="preserve">Name: </w:t>
      </w:r>
      <w:r w:rsidR="00E929C2" w:rsidRPr="00A7692B">
        <w:rPr>
          <w:sz w:val="22"/>
          <w:szCs w:val="22"/>
        </w:rPr>
        <w:t>TRAN MINH CUONG</w:t>
      </w:r>
      <w:r w:rsidR="00E929C2" w:rsidRPr="00C22603">
        <w:rPr>
          <w:sz w:val="22"/>
          <w:szCs w:val="22"/>
          <w:vertAlign w:val="superscript"/>
        </w:rPr>
        <w:t>1</w:t>
      </w:r>
      <w:r w:rsidR="00E929C2" w:rsidRPr="00A7692B">
        <w:rPr>
          <w:sz w:val="22"/>
          <w:szCs w:val="22"/>
        </w:rPr>
        <w:t>, TRAN NGOC LIEN</w:t>
      </w:r>
      <w:r w:rsidR="00E929C2" w:rsidRPr="00C22603">
        <w:rPr>
          <w:sz w:val="22"/>
          <w:szCs w:val="22"/>
          <w:vertAlign w:val="superscript"/>
        </w:rPr>
        <w:t>1</w:t>
      </w:r>
      <w:r w:rsidR="00E929C2" w:rsidRPr="00A7692B">
        <w:rPr>
          <w:sz w:val="22"/>
          <w:szCs w:val="22"/>
        </w:rPr>
        <w:t>, NGUYEN PHAN THE HUY</w:t>
      </w:r>
      <w:r w:rsidR="00E929C2" w:rsidRPr="00C22603">
        <w:rPr>
          <w:sz w:val="22"/>
          <w:szCs w:val="22"/>
          <w:vertAlign w:val="superscript"/>
        </w:rPr>
        <w:t>1</w:t>
      </w:r>
      <w:r w:rsidR="00E929C2" w:rsidRPr="00A7692B">
        <w:rPr>
          <w:sz w:val="22"/>
          <w:szCs w:val="22"/>
        </w:rPr>
        <w:t>, NGUYEN DUC TUAN</w:t>
      </w:r>
      <w:r w:rsidR="00E929C2" w:rsidRPr="00C22603">
        <w:rPr>
          <w:sz w:val="22"/>
          <w:szCs w:val="22"/>
          <w:vertAlign w:val="superscript"/>
        </w:rPr>
        <w:t>1</w:t>
      </w:r>
      <w:r w:rsidR="00E929C2">
        <w:rPr>
          <w:sz w:val="22"/>
          <w:szCs w:val="22"/>
          <w:lang w:val="vi-VN"/>
        </w:rPr>
        <w:t xml:space="preserve">, </w:t>
      </w:r>
      <w:r w:rsidR="00E929C2" w:rsidRPr="00A7692B">
        <w:rPr>
          <w:sz w:val="22"/>
          <w:szCs w:val="22"/>
        </w:rPr>
        <w:t>DANG HUY QUOC THINH</w:t>
      </w:r>
      <w:r w:rsidR="00E929C2">
        <w:rPr>
          <w:sz w:val="22"/>
          <w:szCs w:val="22"/>
          <w:vertAlign w:val="superscript"/>
        </w:rPr>
        <w:t>2</w:t>
      </w:r>
      <w:r w:rsidR="00E929C2" w:rsidRPr="00A7692B">
        <w:rPr>
          <w:sz w:val="22"/>
          <w:szCs w:val="22"/>
        </w:rPr>
        <w:t>, NGUYEN THI HONG</w:t>
      </w:r>
      <w:r w:rsidR="00E929C2" w:rsidRPr="00C22603">
        <w:rPr>
          <w:sz w:val="22"/>
          <w:szCs w:val="22"/>
          <w:vertAlign w:val="superscript"/>
        </w:rPr>
        <w:t>1</w:t>
      </w:r>
    </w:p>
    <w:p w14:paraId="2B73BE88" w14:textId="77777777" w:rsidR="008E2F78" w:rsidRDefault="008E2F78" w:rsidP="003A3C5A">
      <w:pPr>
        <w:rPr>
          <w:rFonts w:eastAsia="MS PGothic" w:hAnsi="Arial"/>
          <w:color w:val="000000"/>
        </w:rPr>
      </w:pPr>
    </w:p>
    <w:p w14:paraId="54507261" w14:textId="3EDF6018" w:rsidR="00E929C2" w:rsidRPr="00E929C2" w:rsidRDefault="00E929C2" w:rsidP="001613F9">
      <w:pPr>
        <w:jc w:val="right"/>
        <w:rPr>
          <w:szCs w:val="28"/>
          <w:lang w:val="vi-VN"/>
        </w:rPr>
      </w:pPr>
      <w:r w:rsidRPr="00E929C2">
        <w:rPr>
          <w:szCs w:val="28"/>
          <w:vertAlign w:val="superscript"/>
        </w:rPr>
        <w:t>1</w:t>
      </w:r>
      <w:r w:rsidRPr="00E929C2">
        <w:rPr>
          <w:szCs w:val="28"/>
        </w:rPr>
        <w:t xml:space="preserve">: University of Medicine and Pharmacy at Ho Chi Minh City; </w:t>
      </w:r>
      <w:r w:rsidRPr="00E929C2">
        <w:rPr>
          <w:szCs w:val="28"/>
          <w:vertAlign w:val="superscript"/>
        </w:rPr>
        <w:t>2</w:t>
      </w:r>
      <w:r w:rsidRPr="00E929C2">
        <w:rPr>
          <w:szCs w:val="28"/>
        </w:rPr>
        <w:t xml:space="preserve">: Ho Chi Minh </w:t>
      </w:r>
      <w:r>
        <w:rPr>
          <w:szCs w:val="28"/>
          <w:lang w:val="vi-VN"/>
        </w:rPr>
        <w:t>C</w:t>
      </w:r>
      <w:r w:rsidRPr="00E929C2">
        <w:rPr>
          <w:szCs w:val="28"/>
        </w:rPr>
        <w:t>ity Oncology Hospital</w:t>
      </w:r>
      <w:r>
        <w:rPr>
          <w:szCs w:val="28"/>
          <w:lang w:val="vi-VN"/>
        </w:rPr>
        <w:t>, Vietnam</w:t>
      </w:r>
    </w:p>
    <w:p w14:paraId="379B04DD" w14:textId="24F0F207" w:rsidR="00DC433A" w:rsidRDefault="00DC433A" w:rsidP="00E929C2">
      <w:pPr>
        <w:rPr>
          <w:color w:val="0000FF"/>
          <w:sz w:val="36"/>
          <w:szCs w:val="36"/>
        </w:rPr>
      </w:pPr>
    </w:p>
    <w:p w14:paraId="6C334A2D" w14:textId="77777777" w:rsidR="000574CD" w:rsidRPr="00F82357" w:rsidRDefault="000574CD" w:rsidP="000574CD">
      <w:pPr>
        <w:autoSpaceDE w:val="0"/>
        <w:autoSpaceDN w:val="0"/>
        <w:adjustRightInd w:val="0"/>
        <w:jc w:val="both"/>
        <w:rPr>
          <w:rFonts w:ascii="Times" w:hAnsi="Times" w:cs="Times"/>
          <w:color w:val="0D0D0D"/>
        </w:rPr>
      </w:pPr>
      <w:r w:rsidRPr="00575DE5">
        <w:rPr>
          <w:u w:val="single"/>
        </w:rPr>
        <w:t>Background</w:t>
      </w:r>
      <w:r w:rsidRPr="00575DE5">
        <w:t>:</w:t>
      </w:r>
      <w:r w:rsidRPr="00A719F4">
        <w:rPr>
          <w:b/>
        </w:rPr>
        <w:t xml:space="preserve"> </w:t>
      </w:r>
      <w:r>
        <w:rPr>
          <w:rFonts w:ascii="Times" w:hAnsi="Times" w:cs="Times"/>
        </w:rPr>
        <w:t xml:space="preserve">Normal oral mucosa emits a pale green autofluorescence while abnormal tissue may show loss of autofluorescence and appears dark in contrast. </w:t>
      </w:r>
      <w:r w:rsidRPr="00F82357">
        <w:rPr>
          <w:color w:val="0D0D0D"/>
        </w:rPr>
        <w:t>Loss of autofluorescence as an early phenomenon associated with tissue degeneration seems to be promising for the diagnosis of oral cancer.</w:t>
      </w:r>
    </w:p>
    <w:p w14:paraId="06B183EE" w14:textId="77777777" w:rsidR="000574CD" w:rsidRDefault="000574CD" w:rsidP="000574CD">
      <w:pPr>
        <w:autoSpaceDE w:val="0"/>
        <w:autoSpaceDN w:val="0"/>
        <w:adjustRightInd w:val="0"/>
        <w:jc w:val="both"/>
        <w:rPr>
          <w:b/>
        </w:rPr>
      </w:pPr>
      <w:r w:rsidRPr="00575DE5">
        <w:rPr>
          <w:u w:val="single"/>
        </w:rPr>
        <w:t>Objective</w:t>
      </w:r>
      <w:r w:rsidRPr="00575DE5">
        <w:t>:</w:t>
      </w:r>
      <w:r w:rsidRPr="00A719F4">
        <w:rPr>
          <w:b/>
        </w:rPr>
        <w:t xml:space="preserve"> </w:t>
      </w:r>
      <w:r w:rsidRPr="00A87C00">
        <w:t>T</w:t>
      </w:r>
      <w:r w:rsidRPr="00A719F4">
        <w:t xml:space="preserve">o assess the </w:t>
      </w:r>
      <w:r>
        <w:t>value</w:t>
      </w:r>
      <w:r w:rsidRPr="00A719F4">
        <w:t xml:space="preserve"> of </w:t>
      </w:r>
      <w:r>
        <w:t>tissue a</w:t>
      </w:r>
      <w:r w:rsidRPr="00A719F4">
        <w:t>utoflu</w:t>
      </w:r>
      <w:r>
        <w:t>o</w:t>
      </w:r>
      <w:r w:rsidRPr="00A719F4">
        <w:t>rescence</w:t>
      </w:r>
      <w:r>
        <w:t xml:space="preserve"> imaging </w:t>
      </w:r>
      <w:r w:rsidRPr="00A719F4">
        <w:t xml:space="preserve">in the </w:t>
      </w:r>
      <w:r>
        <w:t>diagnosis</w:t>
      </w:r>
      <w:r w:rsidRPr="00A719F4">
        <w:t xml:space="preserve"> of </w:t>
      </w:r>
      <w:r w:rsidRPr="00B112F2">
        <w:t>oral cancer.</w:t>
      </w:r>
    </w:p>
    <w:p w14:paraId="631F045F" w14:textId="77777777" w:rsidR="000574CD" w:rsidRPr="00A719F4" w:rsidRDefault="000574CD" w:rsidP="000574CD">
      <w:pPr>
        <w:widowControl w:val="0"/>
        <w:autoSpaceDE w:val="0"/>
        <w:autoSpaceDN w:val="0"/>
        <w:adjustRightInd w:val="0"/>
        <w:spacing w:line="260" w:lineRule="atLeast"/>
        <w:jc w:val="both"/>
      </w:pPr>
      <w:r w:rsidRPr="00575DE5">
        <w:t>Materials and methods:</w:t>
      </w:r>
      <w:r w:rsidRPr="00A719F4">
        <w:rPr>
          <w:b/>
        </w:rPr>
        <w:t xml:space="preserve"> </w:t>
      </w:r>
      <w:r w:rsidRPr="00A719F4">
        <w:t xml:space="preserve">The </w:t>
      </w:r>
      <w:r>
        <w:t xml:space="preserve">cross-sectional </w:t>
      </w:r>
      <w:r w:rsidRPr="00A719F4">
        <w:t xml:space="preserve">study was conducted </w:t>
      </w:r>
      <w:r>
        <w:t xml:space="preserve">on </w:t>
      </w:r>
      <w:r>
        <w:rPr>
          <w:lang w:val="en-CA"/>
        </w:rPr>
        <w:t xml:space="preserve">133 </w:t>
      </w:r>
      <w:r>
        <w:t>patient</w:t>
      </w:r>
      <w:r w:rsidRPr="00BE7D64">
        <w:t xml:space="preserve">s with </w:t>
      </w:r>
      <w:r w:rsidRPr="00A719F4">
        <w:t xml:space="preserve">non-healing oral mucosal lesions. </w:t>
      </w:r>
      <w:r>
        <w:t xml:space="preserve">After </w:t>
      </w:r>
      <w:r>
        <w:rPr>
          <w:rFonts w:ascii="Times" w:hAnsi="Times" w:cs="Times"/>
        </w:rPr>
        <w:t>oral examination under white light, the tissue a</w:t>
      </w:r>
      <w:r w:rsidRPr="00A719F4">
        <w:t xml:space="preserve">utofluorescence </w:t>
      </w:r>
      <w:r>
        <w:t xml:space="preserve">imaging </w:t>
      </w:r>
      <w:r w:rsidRPr="00A719F4">
        <w:t>using VELscope</w:t>
      </w:r>
      <w:r>
        <w:t>®</w:t>
      </w:r>
      <w:r w:rsidRPr="00A719F4">
        <w:t xml:space="preserve"> was applied. </w:t>
      </w:r>
      <w:r>
        <w:t>A</w:t>
      </w:r>
      <w:r w:rsidRPr="00A719F4">
        <w:t>ll the lesions were biopsied</w:t>
      </w:r>
      <w:r>
        <w:t xml:space="preserve"> for definitive diagnosis</w:t>
      </w:r>
      <w:r w:rsidRPr="00A719F4">
        <w:t xml:space="preserve">. </w:t>
      </w:r>
      <w:r>
        <w:rPr>
          <w:lang w:eastAsia="en-US"/>
        </w:rPr>
        <w:t xml:space="preserve">The diagnostic values were calculated for </w:t>
      </w:r>
      <w:r>
        <w:rPr>
          <w:rFonts w:ascii="Times" w:hAnsi="Times" w:cs="Times"/>
        </w:rPr>
        <w:t>the autofluorescence imaging</w:t>
      </w:r>
      <w:r>
        <w:rPr>
          <w:lang w:val="en-CA"/>
        </w:rPr>
        <w:t xml:space="preserve"> compared to histopathological diagnosis.</w:t>
      </w:r>
    </w:p>
    <w:p w14:paraId="37F79238" w14:textId="77777777" w:rsidR="000574CD" w:rsidRDefault="000574CD" w:rsidP="000574CD">
      <w:pPr>
        <w:widowControl w:val="0"/>
        <w:autoSpaceDE w:val="0"/>
        <w:autoSpaceDN w:val="0"/>
        <w:adjustRightInd w:val="0"/>
        <w:spacing w:line="280" w:lineRule="atLeast"/>
        <w:jc w:val="both"/>
      </w:pPr>
      <w:r w:rsidRPr="00575DE5">
        <w:rPr>
          <w:u w:val="single"/>
        </w:rPr>
        <w:t>Results</w:t>
      </w:r>
      <w:r w:rsidRPr="00575DE5">
        <w:t>:</w:t>
      </w:r>
      <w:r>
        <w:rPr>
          <w:b/>
        </w:rPr>
        <w:t xml:space="preserve"> </w:t>
      </w:r>
      <w:r w:rsidRPr="00A719F4">
        <w:rPr>
          <w:rStyle w:val="hps"/>
        </w:rPr>
        <w:t xml:space="preserve">In total </w:t>
      </w:r>
      <w:r>
        <w:rPr>
          <w:rStyle w:val="hps"/>
        </w:rPr>
        <w:t xml:space="preserve">there were </w:t>
      </w:r>
      <w:r w:rsidRPr="00A719F4">
        <w:rPr>
          <w:rStyle w:val="hps"/>
        </w:rPr>
        <w:t>13</w:t>
      </w:r>
      <w:r>
        <w:rPr>
          <w:rStyle w:val="hps"/>
        </w:rPr>
        <w:t>3</w:t>
      </w:r>
      <w:r w:rsidRPr="00A719F4">
        <w:rPr>
          <w:rStyle w:val="hps"/>
        </w:rPr>
        <w:t xml:space="preserve"> </w:t>
      </w:r>
      <w:r>
        <w:rPr>
          <w:rStyle w:val="hps"/>
        </w:rPr>
        <w:t>oral mucosal lesions</w:t>
      </w:r>
      <w:r w:rsidRPr="00A719F4">
        <w:rPr>
          <w:rStyle w:val="hps"/>
        </w:rPr>
        <w:t xml:space="preserve">, </w:t>
      </w:r>
      <w:r>
        <w:rPr>
          <w:rStyle w:val="hps"/>
        </w:rPr>
        <w:t xml:space="preserve">among them </w:t>
      </w:r>
      <w:r w:rsidRPr="00A719F4">
        <w:rPr>
          <w:rStyle w:val="hps"/>
        </w:rPr>
        <w:t>10</w:t>
      </w:r>
      <w:r>
        <w:rPr>
          <w:rStyle w:val="hps"/>
        </w:rPr>
        <w:t>7 malignant ones (</w:t>
      </w:r>
      <w:r w:rsidRPr="00A719F4">
        <w:rPr>
          <w:rStyle w:val="hps"/>
        </w:rPr>
        <w:t>80.</w:t>
      </w:r>
      <w:r>
        <w:rPr>
          <w:rStyle w:val="hps"/>
        </w:rPr>
        <w:t>5</w:t>
      </w:r>
      <w:r w:rsidRPr="00A719F4">
        <w:rPr>
          <w:rStyle w:val="hps"/>
        </w:rPr>
        <w:t xml:space="preserve">%) and 26 benign </w:t>
      </w:r>
      <w:r>
        <w:rPr>
          <w:rStyle w:val="hps"/>
        </w:rPr>
        <w:t>ones (19.5</w:t>
      </w:r>
      <w:r w:rsidRPr="00A719F4">
        <w:rPr>
          <w:rStyle w:val="hps"/>
        </w:rPr>
        <w:t>%).</w:t>
      </w:r>
      <w:r>
        <w:rPr>
          <w:rStyle w:val="hps"/>
        </w:rPr>
        <w:t xml:space="preserve"> The autofluorescence imaging</w:t>
      </w:r>
      <w:r w:rsidRPr="00A719F4">
        <w:rPr>
          <w:rStyle w:val="hps"/>
        </w:rPr>
        <w:t xml:space="preserve"> displayed high sensitivity</w:t>
      </w:r>
      <w:r>
        <w:rPr>
          <w:rStyle w:val="hps"/>
        </w:rPr>
        <w:t xml:space="preserve"> of </w:t>
      </w:r>
      <w:r w:rsidRPr="00A719F4">
        <w:rPr>
          <w:rStyle w:val="hps"/>
        </w:rPr>
        <w:t>90.7% and average</w:t>
      </w:r>
      <w:r>
        <w:rPr>
          <w:rStyle w:val="hps"/>
        </w:rPr>
        <w:t xml:space="preserve"> </w:t>
      </w:r>
      <w:r w:rsidRPr="00A719F4">
        <w:rPr>
          <w:rStyle w:val="hps"/>
        </w:rPr>
        <w:t>specificity</w:t>
      </w:r>
      <w:r>
        <w:rPr>
          <w:rStyle w:val="hps"/>
        </w:rPr>
        <w:t xml:space="preserve"> </w:t>
      </w:r>
      <w:r w:rsidRPr="00A719F4">
        <w:rPr>
          <w:rStyle w:val="hps"/>
        </w:rPr>
        <w:t>of 46.2%. The</w:t>
      </w:r>
      <w:r>
        <w:rPr>
          <w:rStyle w:val="hps"/>
        </w:rPr>
        <w:t xml:space="preserve"> </w:t>
      </w:r>
      <w:r w:rsidRPr="00A719F4">
        <w:rPr>
          <w:rStyle w:val="hps"/>
        </w:rPr>
        <w:t xml:space="preserve">accuracy </w:t>
      </w:r>
      <w:r>
        <w:rPr>
          <w:rStyle w:val="hps"/>
        </w:rPr>
        <w:t>of this test wa</w:t>
      </w:r>
      <w:r w:rsidRPr="00A719F4">
        <w:rPr>
          <w:rStyle w:val="hps"/>
        </w:rPr>
        <w:t>s</w:t>
      </w:r>
      <w:r>
        <w:rPr>
          <w:rStyle w:val="hps"/>
        </w:rPr>
        <w:t xml:space="preserve"> 82.0</w:t>
      </w:r>
      <w:r w:rsidRPr="00A719F4">
        <w:rPr>
          <w:rStyle w:val="hps"/>
        </w:rPr>
        <w:t>%</w:t>
      </w:r>
      <w:r>
        <w:rPr>
          <w:rStyle w:val="hps"/>
        </w:rPr>
        <w:t>. T</w:t>
      </w:r>
      <w:r>
        <w:t>he positive</w:t>
      </w:r>
      <w:r w:rsidRPr="00411F0A">
        <w:t xml:space="preserve"> predictive value</w:t>
      </w:r>
      <w:r>
        <w:t xml:space="preserve"> was 87.4% and the negative predictive value 54.5%. The </w:t>
      </w:r>
      <w:r>
        <w:rPr>
          <w:lang w:eastAsia="en-US"/>
        </w:rPr>
        <w:t>area under the curve (</w:t>
      </w:r>
      <w:r w:rsidRPr="00751940">
        <w:t>AUC</w:t>
      </w:r>
      <w:r>
        <w:t>)</w:t>
      </w:r>
      <w:r w:rsidRPr="00751940">
        <w:t xml:space="preserve"> </w:t>
      </w:r>
      <w:r>
        <w:t>was</w:t>
      </w:r>
      <w:r w:rsidRPr="00751940">
        <w:t xml:space="preserve"> 0</w:t>
      </w:r>
      <w:r>
        <w:t>.</w:t>
      </w:r>
      <w:r w:rsidRPr="00751940">
        <w:t>68</w:t>
      </w:r>
      <w:r>
        <w:t>.</w:t>
      </w:r>
      <w:r w:rsidRPr="00751940">
        <w:t xml:space="preserve"> </w:t>
      </w:r>
      <w:r>
        <w:t>The Kappa c</w:t>
      </w:r>
      <w:r w:rsidRPr="00A54047">
        <w:t>oefficient</w:t>
      </w:r>
      <w:r>
        <w:t xml:space="preserve"> was 0.4, which showed a moderate agreement between </w:t>
      </w:r>
      <w:r>
        <w:rPr>
          <w:rStyle w:val="hps"/>
        </w:rPr>
        <w:t>autofluorescence imaging</w:t>
      </w:r>
      <w:r>
        <w:t xml:space="preserve"> and histopathology</w:t>
      </w:r>
      <w:r>
        <w:rPr>
          <w:rFonts w:ascii="Optima" w:hAnsi="Optima" w:cs="Optima"/>
        </w:rPr>
        <w:t xml:space="preserve">. </w:t>
      </w:r>
    </w:p>
    <w:p w14:paraId="2FB142CA" w14:textId="77777777" w:rsidR="000574CD" w:rsidRPr="003E5637" w:rsidRDefault="000574CD" w:rsidP="000574CD">
      <w:pPr>
        <w:widowControl w:val="0"/>
        <w:autoSpaceDE w:val="0"/>
        <w:autoSpaceDN w:val="0"/>
        <w:adjustRightInd w:val="0"/>
        <w:spacing w:line="300" w:lineRule="atLeast"/>
        <w:jc w:val="both"/>
      </w:pPr>
      <w:r w:rsidRPr="00575DE5">
        <w:rPr>
          <w:u w:val="single"/>
        </w:rPr>
        <w:t>Conclusion</w:t>
      </w:r>
      <w:r w:rsidRPr="00575DE5">
        <w:t>:</w:t>
      </w:r>
      <w:r>
        <w:rPr>
          <w:b/>
        </w:rPr>
        <w:t xml:space="preserve"> </w:t>
      </w:r>
      <w:r w:rsidRPr="003E5637">
        <w:rPr>
          <w:rFonts w:ascii="Times" w:hAnsi="Times" w:cs="Times"/>
        </w:rPr>
        <w:t>As a simple</w:t>
      </w:r>
      <w:r w:rsidRPr="00A719F4">
        <w:rPr>
          <w:rFonts w:ascii="Times" w:hAnsi="Times" w:cs="Times"/>
        </w:rPr>
        <w:t xml:space="preserve"> and non-</w:t>
      </w:r>
      <w:r w:rsidRPr="003E5637">
        <w:rPr>
          <w:rFonts w:ascii="Times" w:hAnsi="Times" w:cs="Times"/>
        </w:rPr>
        <w:t>invasive</w:t>
      </w:r>
      <w:r w:rsidRPr="00A719F4">
        <w:rPr>
          <w:rFonts w:ascii="Times" w:hAnsi="Times" w:cs="Times"/>
        </w:rPr>
        <w:t xml:space="preserve"> technique</w:t>
      </w:r>
      <w:r w:rsidRPr="003E5637">
        <w:rPr>
          <w:rFonts w:ascii="Times" w:hAnsi="Times" w:cs="Times"/>
        </w:rPr>
        <w:t>, with high sensitivity,</w:t>
      </w:r>
      <w:r>
        <w:rPr>
          <w:rFonts w:ascii="Times" w:hAnsi="Times" w:cs="Times"/>
        </w:rPr>
        <w:t xml:space="preserve"> the</w:t>
      </w:r>
      <w:r w:rsidRPr="003E5637">
        <w:rPr>
          <w:rFonts w:ascii="Times" w:hAnsi="Times" w:cs="Times"/>
        </w:rPr>
        <w:t xml:space="preserve"> ti</w:t>
      </w:r>
      <w:r>
        <w:rPr>
          <w:rFonts w:ascii="Times" w:hAnsi="Times" w:cs="Times"/>
        </w:rPr>
        <w:t xml:space="preserve">ssue autofluorescence test </w:t>
      </w:r>
      <w:r w:rsidRPr="003E5637">
        <w:rPr>
          <w:rFonts w:ascii="Times" w:hAnsi="Times" w:cs="Times"/>
        </w:rPr>
        <w:t xml:space="preserve">could be a </w:t>
      </w:r>
      <w:r>
        <w:rPr>
          <w:rFonts w:ascii="Times" w:hAnsi="Times" w:cs="Times"/>
        </w:rPr>
        <w:t xml:space="preserve">useful diagnostic adjunct to visual inspection for the detection and localization of </w:t>
      </w:r>
      <w:r w:rsidRPr="003E5637">
        <w:rPr>
          <w:rFonts w:ascii="Times" w:hAnsi="Times" w:cs="Times"/>
        </w:rPr>
        <w:t>oral</w:t>
      </w:r>
      <w:r>
        <w:rPr>
          <w:rFonts w:ascii="Times" w:hAnsi="Times" w:cs="Times"/>
        </w:rPr>
        <w:t xml:space="preserve"> </w:t>
      </w:r>
      <w:r w:rsidRPr="003E5637">
        <w:rPr>
          <w:rFonts w:ascii="Times" w:hAnsi="Times" w:cs="Times"/>
        </w:rPr>
        <w:t>cancer</w:t>
      </w:r>
      <w:r>
        <w:rPr>
          <w:rFonts w:ascii="Times" w:hAnsi="Times" w:cs="Times"/>
        </w:rPr>
        <w:t xml:space="preserve"> lesions</w:t>
      </w:r>
      <w:r w:rsidRPr="003E5637">
        <w:rPr>
          <w:rFonts w:ascii="Times" w:hAnsi="Times" w:cs="Times"/>
        </w:rPr>
        <w:t xml:space="preserve">. However, autofluorescence results </w:t>
      </w:r>
      <w:r>
        <w:rPr>
          <w:rFonts w:ascii="Times" w:hAnsi="Times" w:cs="Times"/>
        </w:rPr>
        <w:t xml:space="preserve">must </w:t>
      </w:r>
      <w:r w:rsidRPr="003E5637">
        <w:rPr>
          <w:rFonts w:ascii="Times" w:hAnsi="Times" w:cs="Times"/>
        </w:rPr>
        <w:t>be interpreted with caution</w:t>
      </w:r>
      <w:r>
        <w:rPr>
          <w:rFonts w:ascii="Times" w:hAnsi="Times" w:cs="Times"/>
        </w:rPr>
        <w:t xml:space="preserve"> and cannot replace conventional histopathological examination. </w:t>
      </w:r>
    </w:p>
    <w:p w14:paraId="60C0E184" w14:textId="77777777" w:rsidR="00B8710A" w:rsidRDefault="00B8710A" w:rsidP="00363668">
      <w:pPr>
        <w:jc w:val="both"/>
        <w:rPr>
          <w:color w:val="000000"/>
        </w:rPr>
      </w:pPr>
    </w:p>
    <w:p w14:paraId="62986E00" w14:textId="77777777" w:rsidR="00B8710A" w:rsidRDefault="00B8710A" w:rsidP="00363668">
      <w:pPr>
        <w:jc w:val="both"/>
        <w:rPr>
          <w:b/>
        </w:rPr>
      </w:pPr>
      <w:r w:rsidRPr="00732C88">
        <w:rPr>
          <w:b/>
        </w:rPr>
        <w:t>Biography</w:t>
      </w:r>
    </w:p>
    <w:p w14:paraId="0CC0E92B" w14:textId="4C389F61" w:rsidR="00CE6677" w:rsidRDefault="00CE6677" w:rsidP="00363668">
      <w:pPr>
        <w:jc w:val="both"/>
        <w:rPr>
          <w:b/>
        </w:rPr>
      </w:pPr>
    </w:p>
    <w:p w14:paraId="100A46BB" w14:textId="0830C6DE" w:rsidR="007D233A" w:rsidRPr="00B12FEE" w:rsidRDefault="001C5B99" w:rsidP="00B12FEE">
      <w:pPr>
        <w:jc w:val="both"/>
        <w:rPr>
          <w:lang w:val="vi-VN"/>
        </w:rPr>
      </w:pPr>
      <w:r>
        <w:rPr>
          <w:lang w:val="vi-VN"/>
        </w:rPr>
        <w:t xml:space="preserve">Tran Minh Cuong has completed DDS degree at the age of 24 years from University of Medicine and Pharmacy at Ho Chi Minh City, Vietnam. Now he is PhD graduate student at Department of </w:t>
      </w:r>
      <w:r>
        <w:rPr>
          <w:lang w:val="vi-VN"/>
        </w:rPr>
        <w:lastRenderedPageBreak/>
        <w:t>Oral and Maxillofacial Surgery of Tokyo Medical and Dental University, Japan.</w:t>
      </w:r>
      <w:r w:rsidR="00C51EBB">
        <w:rPr>
          <w:lang w:val="vi-VN"/>
        </w:rPr>
        <w:t xml:space="preserve"> </w:t>
      </w:r>
      <w:r w:rsidR="008C0690">
        <w:rPr>
          <w:lang w:val="vi-VN"/>
        </w:rPr>
        <w:t>His main reseach theme is about clinocopathology of oral cancer</w:t>
      </w:r>
      <w:r w:rsidR="005963DB">
        <w:rPr>
          <w:lang w:val="vi-VN"/>
        </w:rPr>
        <w:t>.</w:t>
      </w:r>
      <w:bookmarkStart w:id="0" w:name="_GoBack"/>
      <w:bookmarkEnd w:id="0"/>
    </w:p>
    <w:p w14:paraId="75482755" w14:textId="77777777"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Optima">
    <w:panose1 w:val="02000503060000020004"/>
    <w:charset w:val="00"/>
    <w:family w:val="auto"/>
    <w:pitch w:val="variable"/>
    <w:sig w:usb0="80000067" w:usb1="00000000" w:usb2="00000000" w:usb3="00000000" w:csb0="00000001" w:csb1="00000000"/>
  </w:font>
  <w:font w:name="MS Gothic">
    <w:altName w:val="ＭＳ ゴシック"/>
    <w:panose1 w:val="020B0609070205080204"/>
    <w:charset w:val="80"/>
    <w:family w:val="modern"/>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7"/>
  <w:proofState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605F8"/>
    <w:rsid w:val="0002392A"/>
    <w:rsid w:val="000574CD"/>
    <w:rsid w:val="00074C9C"/>
    <w:rsid w:val="000D6718"/>
    <w:rsid w:val="001602FA"/>
    <w:rsid w:val="001613F9"/>
    <w:rsid w:val="001B06AE"/>
    <w:rsid w:val="001C5B99"/>
    <w:rsid w:val="00265E72"/>
    <w:rsid w:val="002C359D"/>
    <w:rsid w:val="002C3D9B"/>
    <w:rsid w:val="0031455A"/>
    <w:rsid w:val="00363668"/>
    <w:rsid w:val="00384441"/>
    <w:rsid w:val="003A3C5A"/>
    <w:rsid w:val="00437503"/>
    <w:rsid w:val="00441F91"/>
    <w:rsid w:val="004E62DD"/>
    <w:rsid w:val="004F0441"/>
    <w:rsid w:val="00575DE5"/>
    <w:rsid w:val="005963DB"/>
    <w:rsid w:val="005B4B32"/>
    <w:rsid w:val="0061111F"/>
    <w:rsid w:val="00654259"/>
    <w:rsid w:val="006C5D11"/>
    <w:rsid w:val="007341F9"/>
    <w:rsid w:val="0078229D"/>
    <w:rsid w:val="007B0D32"/>
    <w:rsid w:val="007D00E7"/>
    <w:rsid w:val="007D233A"/>
    <w:rsid w:val="007D5AD0"/>
    <w:rsid w:val="007D65C7"/>
    <w:rsid w:val="008747F9"/>
    <w:rsid w:val="008C0690"/>
    <w:rsid w:val="008E2F78"/>
    <w:rsid w:val="008E5AA5"/>
    <w:rsid w:val="008E737B"/>
    <w:rsid w:val="00912F54"/>
    <w:rsid w:val="009E52D9"/>
    <w:rsid w:val="00A4183E"/>
    <w:rsid w:val="00A50C1E"/>
    <w:rsid w:val="00A67093"/>
    <w:rsid w:val="00AA5A30"/>
    <w:rsid w:val="00AC5543"/>
    <w:rsid w:val="00AF61EB"/>
    <w:rsid w:val="00B03DB8"/>
    <w:rsid w:val="00B12FEE"/>
    <w:rsid w:val="00B17C38"/>
    <w:rsid w:val="00B44878"/>
    <w:rsid w:val="00B8710A"/>
    <w:rsid w:val="00BA2068"/>
    <w:rsid w:val="00C07C5B"/>
    <w:rsid w:val="00C51EBB"/>
    <w:rsid w:val="00C578FF"/>
    <w:rsid w:val="00C828BF"/>
    <w:rsid w:val="00CA11BF"/>
    <w:rsid w:val="00CE6677"/>
    <w:rsid w:val="00D605F8"/>
    <w:rsid w:val="00D734FE"/>
    <w:rsid w:val="00D841B1"/>
    <w:rsid w:val="00DC433A"/>
    <w:rsid w:val="00DD2716"/>
    <w:rsid w:val="00E63452"/>
    <w:rsid w:val="00E929C2"/>
    <w:rsid w:val="00E95A08"/>
    <w:rsid w:val="00E95F95"/>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831AF"/>
  <w15:docId w15:val="{CB9AB92D-8CB9-A143-9A45-0E56D3A91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Footer">
    <w:name w:val="footer"/>
    <w:basedOn w:val="Normal"/>
    <w:link w:val="FooterChar"/>
    <w:uiPriority w:val="99"/>
    <w:rsid w:val="00E929C2"/>
    <w:pPr>
      <w:tabs>
        <w:tab w:val="center" w:pos="4680"/>
        <w:tab w:val="right" w:pos="9360"/>
      </w:tabs>
    </w:pPr>
    <w:rPr>
      <w:rFonts w:eastAsia="Times New Roman"/>
      <w:lang w:val="fr-FR" w:eastAsia="x-none"/>
    </w:rPr>
  </w:style>
  <w:style w:type="character" w:customStyle="1" w:styleId="FooterChar">
    <w:name w:val="Footer Char"/>
    <w:basedOn w:val="DefaultParagraphFont"/>
    <w:link w:val="Footer"/>
    <w:uiPriority w:val="99"/>
    <w:rsid w:val="00E929C2"/>
    <w:rPr>
      <w:rFonts w:ascii="Times New Roman" w:eastAsia="Times New Roman" w:hAnsi="Times New Roman"/>
      <w:sz w:val="24"/>
      <w:szCs w:val="24"/>
      <w:lang w:val="fr-FR" w:eastAsia="x-none"/>
    </w:rPr>
  </w:style>
  <w:style w:type="character" w:customStyle="1" w:styleId="hps">
    <w:name w:val="hps"/>
    <w:basedOn w:val="DefaultParagraphFont"/>
    <w:rsid w:val="000574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Microsoft Office User</cp:lastModifiedBy>
  <cp:revision>31</cp:revision>
  <dcterms:created xsi:type="dcterms:W3CDTF">2014-02-12T16:25:00Z</dcterms:created>
  <dcterms:modified xsi:type="dcterms:W3CDTF">2019-05-29T01:25:00Z</dcterms:modified>
</cp:coreProperties>
</file>