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jc w:val="center"/>
        <w:rPr>
          <w:rFonts w:eastAsia="Malgun Gothic" w:asciiTheme="majorBidi" w:hAnsiTheme="majorBidi" w:cstheme="majorBidi"/>
          <w:sz w:val="24"/>
          <w:szCs w:val="24"/>
          <w:vertAlign w:val="superscript"/>
          <w:lang w:val="fr-FR" w:eastAsia="ko-KR"/>
        </w:rPr>
      </w:pPr>
      <w:r>
        <w:rPr>
          <w:rStyle w:val="4"/>
          <w:rFonts w:eastAsia="SimSun"/>
        </w:rPr>
        <w:t>Anti-Aquaporin-4 Antibodies specific serum marker for Neuromyelitis optica and</w:t>
      </w:r>
      <w:r>
        <w:rPr>
          <w:rStyle w:val="4"/>
          <w:rFonts w:eastAsia="SimSun"/>
        </w:rPr>
        <w:br w:type="textWrapping"/>
      </w:r>
      <w:r>
        <w:rPr>
          <w:rStyle w:val="4"/>
          <w:rFonts w:eastAsia="SimSun"/>
        </w:rPr>
        <w:t>neuromyelitis optica spectrum disorders</w:t>
      </w:r>
      <w:r>
        <w:rPr>
          <w:rStyle w:val="4"/>
          <w:rFonts w:eastAsia="SimSun"/>
        </w:rPr>
        <w:br w:type="textWrapping"/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  <w:lang w:val="fr-FR"/>
        </w:rPr>
        <w:t>Dr. Ouadi Ibtissem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vertAlign w:val="superscript"/>
          <w:lang w:val="fr-FR"/>
        </w:rPr>
        <w:t>1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lang w:val="fr-FR"/>
        </w:rPr>
        <w:t>,Pr.N.Attal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vertAlign w:val="superscript"/>
          <w:lang w:val="fr-FR"/>
        </w:rPr>
        <w:t>2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lang w:val="fr-FR"/>
        </w:rPr>
        <w:t xml:space="preserve">.  ,Pr. S. Gadiri-Meriche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vertAlign w:val="superscript"/>
          <w:lang w:val="fr-FR"/>
        </w:rPr>
        <w:t xml:space="preserve">1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vertAlign w:val="subscript"/>
          <w:lang w:val="fr-FR"/>
        </w:rPr>
        <w:t>,</w:t>
      </w:r>
      <w:r>
        <w:rPr>
          <w:rFonts w:eastAsia="Malgun Gothic" w:asciiTheme="majorBidi" w:hAnsiTheme="majorBidi" w:cstheme="majorBidi"/>
          <w:b/>
          <w:bCs/>
          <w:i/>
          <w:iCs/>
          <w:sz w:val="24"/>
          <w:szCs w:val="24"/>
          <w:lang w:val="fr-FR" w:eastAsia="ko-KR"/>
        </w:rPr>
        <w:t xml:space="preserve">Pr .H. Meriche </w:t>
      </w:r>
      <w:r>
        <w:rPr>
          <w:rFonts w:eastAsia="Malgun Gothic" w:asciiTheme="majorBidi" w:hAnsiTheme="majorBidi" w:cstheme="majorBidi"/>
          <w:b/>
          <w:bCs/>
          <w:i/>
          <w:iCs/>
          <w:sz w:val="24"/>
          <w:szCs w:val="24"/>
          <w:vertAlign w:val="superscript"/>
          <w:lang w:val="fr-FR" w:eastAsia="ko-KR"/>
        </w:rPr>
        <w:t>1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vertAlign w:val="superscript"/>
          <w:lang w:val="fr-FR"/>
        </w:rPr>
        <w:t xml:space="preserve"> </w:t>
      </w:r>
      <w:r>
        <w:rPr>
          <w:rFonts w:eastAsia="Malgun Gothic" w:asciiTheme="majorBidi" w:hAnsiTheme="majorBidi" w:cstheme="majorBidi"/>
          <w:sz w:val="24"/>
          <w:szCs w:val="24"/>
          <w:vertAlign w:val="superscript"/>
          <w:lang w:val="fr-FR" w:eastAsia="ko-KR"/>
        </w:rPr>
        <w:t xml:space="preserve"> </w:t>
      </w:r>
    </w:p>
    <w:p>
      <w:pPr>
        <w:pStyle w:val="9"/>
        <w:jc w:val="center"/>
        <w:rPr>
          <w:rFonts w:hint="default" w:ascii="Times New Roman" w:hAnsi="Times New Roman" w:eastAsia="SimSun" w:cs="Times New Roman"/>
          <w:b/>
          <w:bCs/>
          <w:i w:val="0"/>
          <w:caps w:val="0"/>
          <w:color w:val="333333"/>
          <w:spacing w:val="0"/>
          <w:sz w:val="21"/>
          <w:szCs w:val="21"/>
          <w:u w:val="none"/>
        </w:rPr>
      </w:pPr>
      <w:r>
        <w:rPr>
          <w:rFonts w:asciiTheme="majorBidi" w:hAnsiTheme="majorBidi" w:cstheme="majorBidi"/>
          <w:b/>
          <w:bCs/>
          <w:sz w:val="21"/>
          <w:szCs w:val="21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21"/>
          <w:szCs w:val="21"/>
        </w:rPr>
        <w:t xml:space="preserve"> </w:t>
      </w:r>
      <w:r>
        <w:rPr>
          <w:rFonts w:hint="default" w:ascii="Times New Roman" w:hAnsi="Times New Roman" w:eastAsia="SimSun" w:cs="Times New Roman"/>
          <w:b/>
          <w:bCs/>
          <w:i w:val="0"/>
          <w:caps w:val="0"/>
          <w:color w:val="333333"/>
          <w:spacing w:val="0"/>
          <w:sz w:val="21"/>
          <w:szCs w:val="21"/>
          <w:u w:val="none"/>
        </w:rPr>
        <w:t>Faculty of Medicine, Badji Mokhtar University, Annaba, Algeria.</w:t>
      </w:r>
    </w:p>
    <w:p>
      <w:pPr>
        <w:pStyle w:val="9"/>
        <w:jc w:val="center"/>
        <w:rPr>
          <w:rFonts w:hint="default" w:ascii="Times New Roman" w:hAnsi="Times New Roman" w:eastAsia="SimSun" w:cs="Times New Roman"/>
          <w:b/>
          <w:bCs/>
          <w:i w:val="0"/>
          <w:caps w:val="0"/>
          <w:color w:val="333333"/>
          <w:spacing w:val="0"/>
          <w:sz w:val="21"/>
          <w:szCs w:val="21"/>
          <w:u w:val="none"/>
        </w:rPr>
      </w:pPr>
      <w:r>
        <w:rPr>
          <w:rFonts w:asciiTheme="majorBidi" w:hAnsiTheme="majorBidi" w:cstheme="majorBidi"/>
          <w:b/>
          <w:bCs/>
          <w:sz w:val="21"/>
          <w:szCs w:val="21"/>
          <w:vertAlign w:val="superscript"/>
          <w:lang w:val="fr-FR"/>
        </w:rPr>
        <w:t>2</w:t>
      </w:r>
      <w:r>
        <w:rPr>
          <w:rFonts w:asciiTheme="majorBidi" w:hAnsiTheme="majorBidi" w:cstheme="majorBidi"/>
          <w:b/>
          <w:bCs/>
          <w:sz w:val="21"/>
          <w:szCs w:val="21"/>
        </w:rPr>
        <w:t xml:space="preserve"> </w:t>
      </w:r>
      <w:r>
        <w:rPr>
          <w:rFonts w:hint="default" w:ascii="Times New Roman" w:hAnsi="Times New Roman" w:eastAsia="SimSun" w:cs="Times New Roman"/>
          <w:b/>
          <w:bCs/>
          <w:i w:val="0"/>
          <w:caps w:val="0"/>
          <w:color w:val="333333"/>
          <w:spacing w:val="0"/>
          <w:sz w:val="21"/>
          <w:szCs w:val="21"/>
          <w:u w:val="none"/>
        </w:rPr>
        <w:t>Faculty of Medicine, A</w:t>
      </w:r>
      <w:r>
        <w:rPr>
          <w:rFonts w:hint="default" w:cs="Times New Roman"/>
          <w:b/>
          <w:bCs/>
          <w:i w:val="0"/>
          <w:caps w:val="0"/>
          <w:color w:val="333333"/>
          <w:spacing w:val="0"/>
          <w:sz w:val="21"/>
          <w:szCs w:val="21"/>
          <w:u w:val="none"/>
          <w:lang w:val="fr-FR"/>
        </w:rPr>
        <w:t>lgiers</w:t>
      </w:r>
      <w:bookmarkStart w:id="0" w:name="_GoBack"/>
      <w:bookmarkEnd w:id="0"/>
      <w:r>
        <w:rPr>
          <w:rFonts w:hint="default" w:ascii="Times New Roman" w:hAnsi="Times New Roman" w:eastAsia="SimSun" w:cs="Times New Roman"/>
          <w:b/>
          <w:bCs/>
          <w:i w:val="0"/>
          <w:caps w:val="0"/>
          <w:color w:val="333333"/>
          <w:spacing w:val="0"/>
          <w:sz w:val="21"/>
          <w:szCs w:val="21"/>
          <w:u w:val="none"/>
        </w:rPr>
        <w:t>, Algeria.</w:t>
      </w: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pStyle w:val="9"/>
        <w:jc w:val="center"/>
        <w:rPr>
          <w:rFonts w:asciiTheme="majorBidi" w:hAnsiTheme="majorBidi" w:cstheme="majorBidi"/>
          <w:b/>
          <w:bCs/>
          <w:sz w:val="21"/>
          <w:szCs w:val="21"/>
          <w:lang w:eastAsia="ko-KR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Email:I.ouadi.btissem@gmail.com</w:t>
      </w:r>
    </w:p>
    <w:p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Abstract:</w:t>
      </w:r>
    </w:p>
    <w:p>
      <w:pPr>
        <w:jc w:val="left"/>
      </w:pPr>
      <w:r>
        <w:rPr>
          <w:rStyle w:val="4"/>
          <w:rFonts w:eastAsia="SimSun"/>
          <w:sz w:val="22"/>
          <w:szCs w:val="22"/>
        </w:rPr>
        <w:t xml:space="preserve">Background: </w:t>
      </w:r>
      <w:r>
        <w:rPr>
          <w:rStyle w:val="5"/>
          <w:rFonts w:eastAsia="SimSun"/>
        </w:rPr>
        <w:t>Neuromyelitis optica (NMO) is a severe inflammatory demyelinating disease</w:t>
      </w:r>
      <w:r>
        <w:rPr>
          <w:rStyle w:val="5"/>
          <w:rFonts w:eastAsia="SimSun"/>
        </w:rPr>
        <w:br w:type="textWrapping"/>
      </w:r>
      <w:r>
        <w:rPr>
          <w:rStyle w:val="5"/>
          <w:rFonts w:eastAsia="SimSun"/>
        </w:rPr>
        <w:t>that predominantly affects the optic nerve and spinal cord. NMO has been considered for a</w:t>
      </w:r>
      <w:r>
        <w:rPr>
          <w:rStyle w:val="5"/>
          <w:rFonts w:eastAsia="SimSun"/>
        </w:rPr>
        <w:br w:type="textWrapping"/>
      </w:r>
      <w:r>
        <w:rPr>
          <w:rStyle w:val="5"/>
          <w:rFonts w:eastAsia="SimSun"/>
        </w:rPr>
        <w:t>long time as a subtype of multiple sclerosis (MS). The presence of a highly specific serum</w:t>
      </w:r>
      <w:r>
        <w:rPr>
          <w:rStyle w:val="5"/>
          <w:rFonts w:eastAsia="SimSun"/>
        </w:rPr>
        <w:br w:type="textWrapping"/>
      </w:r>
      <w:r>
        <w:rPr>
          <w:rStyle w:val="5"/>
          <w:rFonts w:eastAsia="SimSun"/>
        </w:rPr>
        <w:t>autoantibody marker (NMO-IgG) further differentiates NMO from MS and has helped to</w:t>
      </w:r>
      <w:r>
        <w:rPr>
          <w:rStyle w:val="5"/>
          <w:rFonts w:eastAsia="SimSun"/>
        </w:rPr>
        <w:br w:type="textWrapping"/>
      </w:r>
      <w:r>
        <w:rPr>
          <w:rStyle w:val="5"/>
          <w:rFonts w:eastAsia="SimSun"/>
        </w:rPr>
        <w:t>define a neuromyelitis optica spectrum of disorders. NMO-IgG reacts with the water channel</w:t>
      </w:r>
      <w:r>
        <w:rPr>
          <w:rStyle w:val="5"/>
          <w:rFonts w:eastAsia="SimSun"/>
        </w:rPr>
        <w:br w:type="textWrapping"/>
      </w:r>
      <w:r>
        <w:rPr>
          <w:rStyle w:val="5"/>
          <w:rFonts w:eastAsia="SimSun"/>
        </w:rPr>
        <w:t>aquaporin 4 (AQP4)</w:t>
      </w:r>
      <w:r>
        <w:rPr>
          <w:rStyle w:val="5"/>
          <w:rFonts w:eastAsia="SimSun"/>
        </w:rPr>
        <w:br w:type="textWrapping"/>
      </w:r>
      <w:r>
        <w:rPr>
          <w:rStyle w:val="5"/>
          <w:rFonts w:eastAsia="SimSun"/>
        </w:rPr>
        <w:t>Since the discovery of a specific serum marker for NMO in2004, and its subsequent</w:t>
      </w:r>
      <w:r>
        <w:rPr>
          <w:rStyle w:val="5"/>
          <w:rFonts w:eastAsia="SimSun"/>
        </w:rPr>
        <w:br w:type="textWrapping"/>
      </w:r>
      <w:r>
        <w:rPr>
          <w:rStyle w:val="5"/>
          <w:rFonts w:eastAsia="SimSun"/>
        </w:rPr>
        <w:t>identification as an antibody to AQP-4 , various methods have been developed to test for</w:t>
      </w:r>
      <w:r>
        <w:rPr>
          <w:rStyle w:val="5"/>
          <w:rFonts w:eastAsia="SimSun"/>
        </w:rPr>
        <w:br w:type="textWrapping"/>
      </w:r>
      <w:r>
        <w:rPr>
          <w:rStyle w:val="5"/>
          <w:rFonts w:eastAsia="SimSun"/>
        </w:rPr>
        <w:t>The antibodies in patients’ sera</w:t>
      </w:r>
      <w:r>
        <w:rPr>
          <w:rStyle w:val="5"/>
          <w:rFonts w:eastAsia="SimSun"/>
        </w:rPr>
        <w:br w:type="textWrapping"/>
      </w:r>
      <w:r>
        <w:rPr>
          <w:rStyle w:val="4"/>
          <w:rFonts w:eastAsia="SimSun"/>
          <w:sz w:val="22"/>
          <w:szCs w:val="22"/>
        </w:rPr>
        <w:t xml:space="preserve">Objective: </w:t>
      </w:r>
      <w:r>
        <w:rPr>
          <w:rStyle w:val="5"/>
          <w:rFonts w:eastAsia="SimSun"/>
        </w:rPr>
        <w:t>Our aim in this study was to evaluate the specificity of Anti-Aquaporin-4</w:t>
      </w:r>
      <w:r>
        <w:rPr>
          <w:rStyle w:val="5"/>
          <w:rFonts w:eastAsia="SimSun"/>
        </w:rPr>
        <w:br w:type="textWrapping"/>
      </w:r>
      <w:r>
        <w:rPr>
          <w:rStyle w:val="5"/>
          <w:rFonts w:eastAsia="SimSun"/>
        </w:rPr>
        <w:t>antibodies detected by indirect immunofluorescence (IIF)</w:t>
      </w:r>
      <w:r>
        <w:rPr>
          <w:rStyle w:val="5"/>
          <w:rFonts w:eastAsia="SimSun"/>
        </w:rPr>
        <w:br w:type="textWrapping"/>
      </w:r>
      <w:r>
        <w:rPr>
          <w:rStyle w:val="4"/>
          <w:rFonts w:eastAsia="SimSun"/>
          <w:sz w:val="22"/>
          <w:szCs w:val="22"/>
        </w:rPr>
        <w:t xml:space="preserve">Materials and methods: </w:t>
      </w:r>
      <w:r>
        <w:rPr>
          <w:rStyle w:val="5"/>
          <w:rFonts w:eastAsia="SimSun"/>
        </w:rPr>
        <w:t>We tested 118 sera of patients with NMO, high-risk</w:t>
      </w:r>
      <w:r>
        <w:rPr>
          <w:rStyle w:val="5"/>
          <w:rFonts w:eastAsia="SimSun"/>
        </w:rPr>
        <w:br w:type="textWrapping"/>
      </w:r>
      <w:r>
        <w:rPr>
          <w:rStyle w:val="5"/>
          <w:rFonts w:eastAsia="SimSun"/>
        </w:rPr>
        <w:t>syndrome of NMO (hr NMO), MS, clinically isolated syndrome suggestive of MS and</w:t>
      </w:r>
      <w:r>
        <w:rPr>
          <w:rStyle w:val="5"/>
          <w:rFonts w:eastAsia="SimSun"/>
        </w:rPr>
        <w:br w:type="textWrapping"/>
      </w:r>
      <w:r>
        <w:rPr>
          <w:rStyle w:val="5"/>
          <w:rFonts w:eastAsia="SimSun"/>
        </w:rPr>
        <w:t>miscellaneous diseases, for AQP4 antibody, with indirect immunofluorescence (IIF)</w:t>
      </w:r>
      <w:r>
        <w:rPr>
          <w:rStyle w:val="5"/>
          <w:rFonts w:eastAsia="SimSun"/>
        </w:rPr>
        <w:br w:type="textWrapping"/>
      </w:r>
      <w:r>
        <w:rPr>
          <w:rStyle w:val="5"/>
          <w:rFonts w:eastAsia="SimSun"/>
        </w:rPr>
        <w:t>using human AQP4-transfected cell</w:t>
      </w:r>
      <w:r>
        <w:rPr>
          <w:rStyle w:val="6"/>
          <w:rFonts w:eastAsia="SimSun"/>
        </w:rPr>
        <w:t>.</w:t>
      </w:r>
      <w:r>
        <w:rPr>
          <w:rStyle w:val="6"/>
          <w:rFonts w:eastAsia="SimSun"/>
        </w:rPr>
        <w:br w:type="textWrapping"/>
      </w:r>
      <w:r>
        <w:rPr>
          <w:rStyle w:val="4"/>
          <w:rFonts w:eastAsia="SimSun"/>
          <w:sz w:val="22"/>
          <w:szCs w:val="22"/>
        </w:rPr>
        <w:t xml:space="preserve">Results: </w:t>
      </w:r>
      <w:r>
        <w:rPr>
          <w:rStyle w:val="5"/>
          <w:rFonts w:eastAsia="SimSun"/>
        </w:rPr>
        <w:t>Among the 118 patients, 06(5%) were AQP4 antibody–positive. We found</w:t>
      </w:r>
      <w:r>
        <w:rPr>
          <w:rStyle w:val="5"/>
          <w:rFonts w:eastAsia="SimSun"/>
        </w:rPr>
        <w:br w:type="textWrapping"/>
      </w:r>
      <w:r>
        <w:rPr>
          <w:rStyle w:val="5"/>
          <w:rFonts w:eastAsia="SimSun"/>
        </w:rPr>
        <w:t>that the presence of serum anti-AQP4 reactivity is almost exclusively restricted to</w:t>
      </w:r>
      <w:r>
        <w:rPr>
          <w:rStyle w:val="5"/>
          <w:rFonts w:eastAsia="SimSun"/>
        </w:rPr>
        <w:br w:type="textWrapping"/>
      </w:r>
      <w:r>
        <w:rPr>
          <w:rStyle w:val="5"/>
          <w:rFonts w:eastAsia="SimSun"/>
        </w:rPr>
        <w:t>patients with NMO and hrNMO. Seroprevalence and sensitivity was 23%, and the</w:t>
      </w:r>
      <w:r>
        <w:rPr>
          <w:rStyle w:val="5"/>
          <w:rFonts w:eastAsia="SimSun"/>
        </w:rPr>
        <w:br w:type="textWrapping"/>
      </w:r>
      <w:r>
        <w:rPr>
          <w:rStyle w:val="5"/>
          <w:rFonts w:eastAsia="SimSun"/>
        </w:rPr>
        <w:t xml:space="preserve">specificity was 100%. Seropositive patients were found to be predominantly female </w:t>
      </w:r>
      <w:r>
        <w:rPr>
          <w:rStyle w:val="6"/>
          <w:rFonts w:eastAsia="SimSun"/>
        </w:rPr>
        <w:t>,</w:t>
      </w:r>
      <w:r>
        <w:rPr>
          <w:rStyle w:val="6"/>
          <w:rFonts w:eastAsia="SimSun"/>
        </w:rPr>
        <w:br w:type="textWrapping"/>
      </w:r>
      <w:r>
        <w:rPr>
          <w:rStyle w:val="5"/>
          <w:rFonts w:eastAsia="SimSun"/>
        </w:rPr>
        <w:t>to more often have signs of co-existing autoimmunity, and to experience more</w:t>
      </w:r>
      <w:r>
        <w:rPr>
          <w:rStyle w:val="5"/>
          <w:rFonts w:eastAsia="SimSun"/>
        </w:rPr>
        <w:br w:type="textWrapping"/>
      </w:r>
      <w:r>
        <w:rPr>
          <w:rStyle w:val="5"/>
          <w:rFonts w:eastAsia="SimSun"/>
        </w:rPr>
        <w:t>severe clinical attacks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Style w:val="4"/>
          <w:rFonts w:eastAsia="SimSun"/>
          <w:sz w:val="22"/>
          <w:szCs w:val="22"/>
        </w:rPr>
        <w:t>Conclusion</w:t>
      </w:r>
      <w:r>
        <w:rPr>
          <w:rStyle w:val="4"/>
          <w:rFonts w:eastAsia="SimSun"/>
          <w:sz w:val="22"/>
          <w:szCs w:val="22"/>
        </w:rPr>
        <w:br w:type="textWrapping"/>
      </w:r>
      <w:r>
        <w:rPr>
          <w:rStyle w:val="7"/>
          <w:rFonts w:eastAsia="SimSun"/>
        </w:rPr>
        <w:t xml:space="preserve"> </w:t>
      </w:r>
      <w:r>
        <w:rPr>
          <w:rStyle w:val="5"/>
          <w:rFonts w:eastAsia="SimSun"/>
        </w:rPr>
        <w:t>NMO-IgG against aquaporin-4 (AQP4) is a specific marker for NMO</w:t>
      </w:r>
      <w:r>
        <w:rPr>
          <w:rStyle w:val="5"/>
          <w:rFonts w:eastAsia="SimSun"/>
        </w:rPr>
        <w:br w:type="textWrapping"/>
      </w:r>
      <w:r>
        <w:rPr>
          <w:rStyle w:val="7"/>
          <w:rFonts w:eastAsia="SimSun"/>
        </w:rPr>
        <w:t xml:space="preserve"> </w:t>
      </w:r>
      <w:r>
        <w:rPr>
          <w:rStyle w:val="5"/>
          <w:rFonts w:eastAsia="SimSun"/>
        </w:rPr>
        <w:t>The newly developed assay represents a highly specific and easily reproducible</w:t>
      </w:r>
      <w:r>
        <w:rPr>
          <w:rStyle w:val="5"/>
          <w:rFonts w:eastAsia="SimSun"/>
        </w:rPr>
        <w:br w:type="textWrapping"/>
      </w:r>
      <w:r>
        <w:rPr>
          <w:rStyle w:val="5"/>
          <w:rFonts w:eastAsia="SimSun"/>
        </w:rPr>
        <w:t>detection method</w:t>
      </w:r>
      <w:r>
        <w:rPr>
          <w:rStyle w:val="5"/>
          <w:rFonts w:eastAsia="SimSun"/>
        </w:rPr>
        <w:br w:type="textWrapping"/>
      </w:r>
      <w:r>
        <w:rPr>
          <w:rStyle w:val="7"/>
          <w:rFonts w:eastAsia="SimSun"/>
        </w:rPr>
        <w:t xml:space="preserve"> </w:t>
      </w:r>
      <w:r>
        <w:rPr>
          <w:rStyle w:val="5"/>
          <w:rFonts w:eastAsia="SimSun"/>
        </w:rPr>
        <w:t>Detection of anti-AQP4 antibodies may represent a valuable tool to assist</w:t>
      </w:r>
      <w:r>
        <w:rPr>
          <w:rStyle w:val="5"/>
          <w:rFonts w:eastAsia="SimSun"/>
        </w:rPr>
        <w:br w:type="textWrapping"/>
      </w:r>
      <w:r>
        <w:rPr>
          <w:rStyle w:val="5"/>
          <w:rFonts w:eastAsia="SimSun"/>
        </w:rPr>
        <w:t>neurologists in the differential diagnosis between patients with NMO, hrNMO, or</w:t>
      </w:r>
      <w:r>
        <w:rPr>
          <w:rStyle w:val="5"/>
          <w:rFonts w:eastAsia="SimSun"/>
        </w:rPr>
        <w:br w:type="textWrapping"/>
      </w:r>
      <w:r>
        <w:rPr>
          <w:rStyle w:val="5"/>
          <w:rFonts w:eastAsia="SimSun"/>
        </w:rPr>
        <w:t>MS and other inflammatory diseases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dvTimes-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JhengHei U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Univers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0B7575"/>
    <w:rsid w:val="4D0B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style01"/>
    <w:uiPriority w:val="0"/>
    <w:rPr>
      <w:rFonts w:ascii="Calibri" w:hAnsi="Calibri" w:cs="Calibri"/>
      <w:b/>
      <w:color w:val="000000"/>
      <w:sz w:val="24"/>
      <w:szCs w:val="24"/>
    </w:rPr>
  </w:style>
  <w:style w:type="character" w:customStyle="1" w:styleId="5">
    <w:name w:val="fontstyle21"/>
    <w:uiPriority w:val="0"/>
    <w:rPr>
      <w:rFonts w:hint="default" w:ascii="Calibri" w:hAnsi="Calibri" w:cs="Calibri"/>
      <w:color w:val="000000"/>
      <w:sz w:val="22"/>
      <w:szCs w:val="22"/>
    </w:rPr>
  </w:style>
  <w:style w:type="character" w:customStyle="1" w:styleId="6">
    <w:name w:val="fontstyle31"/>
    <w:uiPriority w:val="0"/>
    <w:rPr>
      <w:rFonts w:ascii="Arial" w:hAnsi="Arial" w:cs="Arial"/>
      <w:color w:val="000000"/>
      <w:sz w:val="22"/>
      <w:szCs w:val="22"/>
    </w:rPr>
  </w:style>
  <w:style w:type="character" w:customStyle="1" w:styleId="7">
    <w:name w:val="fontstyle41"/>
    <w:uiPriority w:val="0"/>
    <w:rPr>
      <w:rFonts w:ascii="Symbol" w:hAnsi="Symbol" w:cs="Symbol"/>
      <w:color w:val="000000"/>
      <w:sz w:val="22"/>
      <w:szCs w:val="22"/>
    </w:rPr>
  </w:style>
  <w:style w:type="paragraph" w:customStyle="1" w:styleId="8">
    <w:name w:val="AbstactBook authors"/>
    <w:basedOn w:val="1"/>
    <w:next w:val="9"/>
    <w:qFormat/>
    <w:uiPriority w:val="0"/>
    <w:pPr>
      <w:spacing w:after="120" w:line="240" w:lineRule="auto"/>
    </w:pPr>
    <w:rPr>
      <w:rFonts w:ascii="Times New Roman" w:hAnsi="Times New Roman" w:eastAsia="SimSun" w:cs="Times New Roman"/>
      <w:lang w:val="en-US" w:eastAsia="ru-RU"/>
    </w:rPr>
  </w:style>
  <w:style w:type="paragraph" w:customStyle="1" w:styleId="9">
    <w:name w:val="AbstractBook affiliation"/>
    <w:basedOn w:val="1"/>
    <w:next w:val="1"/>
    <w:qFormat/>
    <w:uiPriority w:val="0"/>
    <w:pPr>
      <w:spacing w:after="120" w:line="240" w:lineRule="auto"/>
    </w:pPr>
    <w:rPr>
      <w:rFonts w:ascii="Times New Roman" w:hAnsi="Times New Roman" w:eastAsia="SimSun" w:cs="Times New Roman"/>
      <w:i/>
      <w:sz w:val="20"/>
      <w:szCs w:val="20"/>
      <w:lang w:val="en-US" w:eastAsia="ru-RU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Office_10.2.0.5978_F1E327BC-269C-435d-A152-05C5408002CA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2019-05-25T13:13:00Z</dcterms:created>
  <dc:creator>asus</dc:creator>
  <cp:lastModifiedBy>asus</cp:lastModifiedBy>
  <dcterms:modified xsi:type="dcterms:W3CDTF">2019-05-25T13:18:07Z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