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24DA0" w:rsidP="00BD7079">
      <w:pPr>
        <w:pStyle w:val="Heading1"/>
        <w:spacing w:before="170"/>
        <w:ind w:left="0"/>
        <w:jc w:val="both"/>
      </w:pPr>
      <w:r>
        <w:rPr>
          <w:color w:val="337AB7"/>
        </w:rPr>
        <w:t>P</w:t>
      </w:r>
      <w:r w:rsidR="00855DE1">
        <w:rPr>
          <w:color w:val="337AB7"/>
        </w:rPr>
        <w:t>otential of Antibacterial Activities of Gentamicin Loaded Bone Cement Polymethyl Methacrylate (PMMA) Against Staphylococcus aureus</w:t>
      </w:r>
    </w:p>
    <w:p w:rsidR="0078738A" w:rsidRDefault="00BD7079" w:rsidP="007441B8">
      <w:pPr>
        <w:pStyle w:val="BodyText"/>
        <w:spacing w:before="73" w:line="198" w:lineRule="exact"/>
        <w:ind w:left="100" w:right="3744"/>
        <w:rPr>
          <w:rFonts w:ascii="Arial"/>
        </w:rPr>
      </w:pPr>
      <w:r>
        <w:rPr>
          <w:rFonts w:ascii="Arial"/>
        </w:rPr>
        <w:t>Kaharudin</w:t>
      </w:r>
      <w:r w:rsidR="005973B9">
        <w:rPr>
          <w:rFonts w:ascii="Arial"/>
        </w:rPr>
        <w:t>,</w:t>
      </w:r>
      <w:r w:rsidR="007441B8">
        <w:rPr>
          <w:rFonts w:ascii="Arial"/>
        </w:rPr>
        <w:t xml:space="preserve"> Medical Student,</w:t>
      </w:r>
      <w:r w:rsidR="005973B9">
        <w:rPr>
          <w:rFonts w:ascii="Arial"/>
        </w:rPr>
        <w:t xml:space="preserve"> </w:t>
      </w:r>
      <w:r w:rsidR="007441B8">
        <w:rPr>
          <w:rFonts w:ascii="Arial"/>
        </w:rPr>
        <w:t xml:space="preserve">Faculty of Medicine </w:t>
      </w:r>
      <w:r>
        <w:rPr>
          <w:rFonts w:ascii="Arial"/>
        </w:rPr>
        <w:t>Andalas University</w:t>
      </w:r>
      <w:r w:rsidR="005973B9">
        <w:rPr>
          <w:rFonts w:ascii="Arial"/>
        </w:rPr>
        <w:t xml:space="preserve">, </w:t>
      </w:r>
      <w:r>
        <w:rPr>
          <w:rFonts w:ascii="Arial"/>
        </w:rPr>
        <w:t>Indonesia</w:t>
      </w:r>
      <w:r w:rsidR="005973B9">
        <w:rPr>
          <w:rFonts w:ascii="Arial"/>
        </w:rPr>
        <w:t xml:space="preserve"> </w:t>
      </w:r>
    </w:p>
    <w:p w:rsidR="005973B9" w:rsidRDefault="0078738A" w:rsidP="0023748B">
      <w:pPr>
        <w:pStyle w:val="BodyText"/>
        <w:spacing w:before="73" w:line="198" w:lineRule="exact"/>
        <w:ind w:left="100" w:right="4594"/>
        <w:rPr>
          <w:rFonts w:ascii="Arial"/>
        </w:rPr>
      </w:pPr>
      <w:r>
        <w:rPr>
          <w:rFonts w:ascii="Arial"/>
        </w:rPr>
        <w:t xml:space="preserve">Dr </w:t>
      </w:r>
      <w:r w:rsidR="00DE6ABE">
        <w:rPr>
          <w:rFonts w:ascii="Arial"/>
        </w:rPr>
        <w:t>Rizki Rahmadian</w:t>
      </w:r>
      <w:r w:rsidR="005973B9">
        <w:rPr>
          <w:rFonts w:ascii="Arial"/>
        </w:rPr>
        <w:t xml:space="preserve">, </w:t>
      </w:r>
      <w:r w:rsidR="00DE6ABE">
        <w:rPr>
          <w:rFonts w:ascii="Arial"/>
        </w:rPr>
        <w:t>Orthopedic</w:t>
      </w:r>
      <w:r w:rsidR="005973B9">
        <w:rPr>
          <w:rFonts w:ascii="Arial"/>
        </w:rPr>
        <w:t xml:space="preserve">, </w:t>
      </w:r>
      <w:r w:rsidR="0023748B">
        <w:rPr>
          <w:rFonts w:ascii="Arial"/>
        </w:rPr>
        <w:t>M.Djamil Hospital</w:t>
      </w:r>
      <w:r w:rsidR="005973B9">
        <w:rPr>
          <w:rFonts w:ascii="Arial"/>
        </w:rPr>
        <w:t xml:space="preserve">, </w:t>
      </w:r>
      <w:r w:rsidR="0023748B">
        <w:rPr>
          <w:rFonts w:ascii="Arial"/>
        </w:rPr>
        <w:t>Indonesia</w:t>
      </w:r>
    </w:p>
    <w:p w:rsidR="0023748B" w:rsidRDefault="0023748B" w:rsidP="005F0746">
      <w:pPr>
        <w:pStyle w:val="BodyText"/>
        <w:spacing w:before="73" w:line="198" w:lineRule="exact"/>
        <w:ind w:left="100" w:right="3460"/>
        <w:rPr>
          <w:rFonts w:ascii="Arial"/>
        </w:rPr>
      </w:pPr>
      <w:r>
        <w:rPr>
          <w:rFonts w:ascii="Arial"/>
        </w:rPr>
        <w:t xml:space="preserve">Dr Miftah Irramah, </w:t>
      </w:r>
      <w:r w:rsidR="005F0746">
        <w:rPr>
          <w:rFonts w:ascii="Arial"/>
        </w:rPr>
        <w:t>General Physician,</w:t>
      </w:r>
      <w:r w:rsidR="005F0746" w:rsidRPr="005F0746">
        <w:rPr>
          <w:rFonts w:ascii="Arial"/>
        </w:rPr>
        <w:t xml:space="preserve"> </w:t>
      </w:r>
      <w:r w:rsidR="005F0746">
        <w:rPr>
          <w:rFonts w:ascii="Arial"/>
        </w:rPr>
        <w:t>Faculty of Medicine Andalas University, 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975DE" w:rsidRPr="00A975DE" w:rsidRDefault="00A975DE" w:rsidP="002155C9">
      <w:pPr>
        <w:spacing w:line="276" w:lineRule="auto"/>
        <w:ind w:left="142"/>
        <w:jc w:val="both"/>
        <w:rPr>
          <w:sz w:val="18"/>
          <w:szCs w:val="18"/>
        </w:rPr>
      </w:pPr>
      <w:r w:rsidRPr="00A975DE">
        <w:rPr>
          <w:sz w:val="18"/>
          <w:szCs w:val="18"/>
        </w:rPr>
        <w:t>Bone cement Polymethyl methacrylate (PMMA) combined with gentamicin is one of the most widely used in the management of chronic osteomyelitis. This study aims to determine the potential antibacterial activity of gentamicin bone cement (PMMA) against Staphylococcus aureus culture with an assessment of Minimum Inhibitory Concentration (MIC) and Minimun Bactericidal Concentration (MBC). This research was done by using dilution technique with completely randomized design. The gentamicin concentration of bone cement was divided into several groups; twenty(%), ten(%), five(%), two point five(%), one point two five(%), and zero(%) (as the control). Minimum Inhibitory Concentration (MIC) and Minimun Bactericidal Concentration (MBC) were determined by counting the number of growing bacterial colonies in each concentration. The data were statistically analyzed by One-way ANOVA test and Post-Hoc LSD test. The study showed that gentamicin loaded bone cement with concentration twenty(%), ten(%), five(%), two point five(%), one point two five(%) had the same inhibitory effect on the growth of Staphylococcus aureus because each concentration can kill more than 99% of Staphylococcus aureus colonies. The MBC from gentamicin loaded bone cement was one point two five(%) while the MIC cannot be identified. This study shows that the combination of gentamicin and bone cement does not interfere with gentamicin activity in killing bacteria due to the polymerization process of heat-producing by bone cement. This research concludes that the combination of several concentrations of gentamicin with bone cement has a bactericidal effect on the growth of Staphylococcus aureus. The implicaton of this study is that the use of gentamicin loaded bone cement with concentration one point two five(%) is the most effective option in the management of chronic osteomyelitis.</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tbl>
      <w:tblPr>
        <w:tblpPr w:leftFromText="180" w:rightFromText="180" w:vertAnchor="text" w:horzAnchor="page" w:tblpX="6194" w:tblpY="-1"/>
        <w:tblW w:w="5211" w:type="dxa"/>
        <w:tblLook w:val="04A0"/>
      </w:tblPr>
      <w:tblGrid>
        <w:gridCol w:w="1017"/>
        <w:gridCol w:w="1359"/>
        <w:gridCol w:w="1418"/>
        <w:gridCol w:w="1417"/>
      </w:tblGrid>
      <w:tr w:rsidR="00F77339" w:rsidRPr="00F77339" w:rsidTr="006F7C5C">
        <w:trPr>
          <w:trHeight w:val="300"/>
        </w:trPr>
        <w:tc>
          <w:tcPr>
            <w:tcW w:w="1017" w:type="dxa"/>
            <w:tcBorders>
              <w:top w:val="single" w:sz="4" w:space="0" w:color="auto"/>
              <w:left w:val="nil"/>
              <w:bottom w:val="single" w:sz="4" w:space="0" w:color="auto"/>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Pr>
                <w:rFonts w:eastAsia="Times New Roman" w:cs="Arial"/>
                <w:color w:val="000000"/>
                <w:sz w:val="18"/>
                <w:szCs w:val="18"/>
                <w:lang w:eastAsia="id-ID"/>
              </w:rPr>
              <w:t>Group</w:t>
            </w:r>
          </w:p>
        </w:tc>
        <w:tc>
          <w:tcPr>
            <w:tcW w:w="1359" w:type="dxa"/>
            <w:tcBorders>
              <w:top w:val="single" w:sz="4" w:space="0" w:color="auto"/>
              <w:left w:val="nil"/>
              <w:bottom w:val="single" w:sz="4" w:space="0" w:color="auto"/>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val="id-ID" w:eastAsia="id-ID"/>
              </w:rPr>
            </w:pPr>
            <w:r>
              <w:rPr>
                <w:rFonts w:eastAsia="Times New Roman" w:cs="Arial"/>
                <w:color w:val="000000"/>
                <w:sz w:val="18"/>
                <w:szCs w:val="18"/>
                <w:lang w:eastAsia="id-ID"/>
              </w:rPr>
              <w:t>Bacterial population</w:t>
            </w:r>
            <w:r w:rsidRPr="00F77339">
              <w:rPr>
                <w:rFonts w:eastAsia="Times New Roman" w:cs="Arial"/>
                <w:color w:val="000000"/>
                <w:sz w:val="18"/>
                <w:szCs w:val="18"/>
                <w:lang w:val="id-ID" w:eastAsia="id-ID"/>
              </w:rPr>
              <w:t xml:space="preserve"> (</w:t>
            </w:r>
            <w:r w:rsidRPr="00F77339">
              <w:rPr>
                <w:rFonts w:eastAsia="Times New Roman" w:cs="Arial"/>
                <w:color w:val="000000"/>
                <w:sz w:val="18"/>
                <w:szCs w:val="18"/>
                <w:lang w:eastAsia="id-ID"/>
              </w:rPr>
              <w:t>CFU</w:t>
            </w:r>
            <w:r w:rsidRPr="00F77339">
              <w:rPr>
                <w:rFonts w:eastAsia="Times New Roman" w:cs="Arial"/>
                <w:color w:val="000000"/>
                <w:sz w:val="18"/>
                <w:szCs w:val="18"/>
                <w:lang w:val="id-ID" w:eastAsia="id-ID"/>
              </w:rPr>
              <w:t>/ml)</w:t>
            </w:r>
          </w:p>
        </w:tc>
        <w:tc>
          <w:tcPr>
            <w:tcW w:w="1418" w:type="dxa"/>
            <w:tcBorders>
              <w:top w:val="single" w:sz="4" w:space="0" w:color="auto"/>
              <w:left w:val="nil"/>
              <w:bottom w:val="single" w:sz="4" w:space="0" w:color="auto"/>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val="id-ID" w:eastAsia="id-ID"/>
              </w:rPr>
            </w:pPr>
            <w:r>
              <w:rPr>
                <w:rFonts w:eastAsia="Times New Roman" w:cs="Arial"/>
                <w:color w:val="000000"/>
                <w:sz w:val="18"/>
                <w:szCs w:val="18"/>
                <w:lang w:eastAsia="id-ID"/>
              </w:rPr>
              <w:t>Decreasing the number of bacterial population</w:t>
            </w:r>
            <w:r w:rsidRPr="00F77339">
              <w:rPr>
                <w:rFonts w:eastAsia="Times New Roman" w:cs="Arial"/>
                <w:color w:val="000000"/>
                <w:sz w:val="18"/>
                <w:szCs w:val="18"/>
                <w:lang w:val="id-ID" w:eastAsia="id-ID"/>
              </w:rPr>
              <w:t xml:space="preserve"> (</w:t>
            </w:r>
            <w:r w:rsidRPr="00F77339">
              <w:rPr>
                <w:rFonts w:eastAsia="Times New Roman" w:cs="Arial"/>
                <w:color w:val="000000"/>
                <w:sz w:val="18"/>
                <w:szCs w:val="18"/>
                <w:lang w:eastAsia="id-ID"/>
              </w:rPr>
              <w:t>CFU</w:t>
            </w:r>
            <w:r w:rsidRPr="00F77339">
              <w:rPr>
                <w:rFonts w:eastAsia="Times New Roman" w:cs="Arial"/>
                <w:color w:val="000000"/>
                <w:sz w:val="18"/>
                <w:szCs w:val="18"/>
                <w:lang w:val="id-ID" w:eastAsia="id-ID"/>
              </w:rPr>
              <w:t>/ml)</w:t>
            </w:r>
          </w:p>
        </w:tc>
        <w:tc>
          <w:tcPr>
            <w:tcW w:w="1417" w:type="dxa"/>
            <w:tcBorders>
              <w:top w:val="single" w:sz="4" w:space="0" w:color="auto"/>
              <w:left w:val="nil"/>
              <w:bottom w:val="single" w:sz="4" w:space="0" w:color="auto"/>
              <w:right w:val="nil"/>
            </w:tcBorders>
            <w:shd w:val="clear" w:color="auto" w:fill="auto"/>
            <w:noWrap/>
            <w:vAlign w:val="center"/>
            <w:hideMark/>
          </w:tcPr>
          <w:p w:rsidR="00F77339" w:rsidRPr="00F77339" w:rsidRDefault="00900582" w:rsidP="00900582">
            <w:pPr>
              <w:jc w:val="center"/>
              <w:rPr>
                <w:rFonts w:eastAsia="Times New Roman" w:cs="Arial"/>
                <w:color w:val="000000"/>
                <w:sz w:val="18"/>
                <w:szCs w:val="18"/>
                <w:lang w:val="id-ID" w:eastAsia="id-ID"/>
              </w:rPr>
            </w:pPr>
            <w:r>
              <w:rPr>
                <w:rFonts w:eastAsia="Times New Roman" w:cs="Arial"/>
                <w:color w:val="000000"/>
                <w:sz w:val="18"/>
                <w:szCs w:val="18"/>
                <w:lang w:eastAsia="id-ID"/>
              </w:rPr>
              <w:t>Percentage  the decrease of bacterial population</w:t>
            </w:r>
            <w:r w:rsidRPr="00F77339">
              <w:rPr>
                <w:rFonts w:eastAsia="Times New Roman" w:cs="Arial"/>
                <w:color w:val="000000"/>
                <w:sz w:val="18"/>
                <w:szCs w:val="18"/>
                <w:lang w:val="id-ID" w:eastAsia="id-ID"/>
              </w:rPr>
              <w:t xml:space="preserve"> </w:t>
            </w:r>
            <w:r>
              <w:rPr>
                <w:rFonts w:eastAsia="Times New Roman" w:cs="Arial"/>
                <w:color w:val="000000"/>
                <w:sz w:val="18"/>
                <w:szCs w:val="18"/>
                <w:lang w:eastAsia="id-ID"/>
              </w:rPr>
              <w:t xml:space="preserve"> </w:t>
            </w:r>
            <w:r w:rsidR="00F77339" w:rsidRPr="00F77339">
              <w:rPr>
                <w:rFonts w:eastAsia="Times New Roman" w:cs="Arial"/>
                <w:color w:val="000000"/>
                <w:sz w:val="18"/>
                <w:szCs w:val="18"/>
                <w:lang w:val="id-ID" w:eastAsia="id-ID"/>
              </w:rPr>
              <w:t xml:space="preserve"> (%)</w:t>
            </w:r>
          </w:p>
        </w:tc>
      </w:tr>
      <w:tr w:rsidR="00F77339" w:rsidRPr="00F77339" w:rsidTr="006F7C5C">
        <w:trPr>
          <w:trHeight w:val="394"/>
        </w:trPr>
        <w:tc>
          <w:tcPr>
            <w:tcW w:w="1017" w:type="dxa"/>
            <w:tcBorders>
              <w:top w:val="single" w:sz="4" w:space="0" w:color="auto"/>
              <w:left w:val="nil"/>
              <w:bottom w:val="nil"/>
              <w:right w:val="nil"/>
            </w:tcBorders>
            <w:shd w:val="clear" w:color="auto" w:fill="auto"/>
            <w:noWrap/>
            <w:vAlign w:val="center"/>
            <w:hideMark/>
          </w:tcPr>
          <w:p w:rsidR="00F77339" w:rsidRPr="00F77339" w:rsidRDefault="009B51D0" w:rsidP="00F77339">
            <w:pPr>
              <w:jc w:val="center"/>
              <w:rPr>
                <w:rFonts w:eastAsia="Times New Roman" w:cs="Arial"/>
                <w:color w:val="000000"/>
                <w:sz w:val="18"/>
                <w:szCs w:val="18"/>
                <w:lang w:eastAsia="id-ID"/>
              </w:rPr>
            </w:pPr>
            <w:r>
              <w:rPr>
                <w:rFonts w:eastAsia="Times New Roman" w:cs="Arial"/>
                <w:color w:val="000000"/>
                <w:sz w:val="18"/>
                <w:szCs w:val="18"/>
                <w:lang w:eastAsia="id-ID"/>
              </w:rPr>
              <w:t>K</w:t>
            </w:r>
          </w:p>
        </w:tc>
        <w:tc>
          <w:tcPr>
            <w:tcW w:w="1359" w:type="dxa"/>
            <w:tcBorders>
              <w:top w:val="single" w:sz="4" w:space="0" w:color="auto"/>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42,3 x 10</w:t>
            </w:r>
            <w:r w:rsidRPr="00F77339">
              <w:rPr>
                <w:rFonts w:eastAsia="Times New Roman" w:cs="Arial"/>
                <w:color w:val="000000"/>
                <w:sz w:val="18"/>
                <w:szCs w:val="18"/>
                <w:vertAlign w:val="superscript"/>
                <w:lang w:eastAsia="id-ID"/>
              </w:rPr>
              <w:t>6</w:t>
            </w:r>
          </w:p>
        </w:tc>
        <w:tc>
          <w:tcPr>
            <w:tcW w:w="1418" w:type="dxa"/>
            <w:tcBorders>
              <w:top w:val="single" w:sz="4" w:space="0" w:color="auto"/>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val="id-ID" w:eastAsia="id-ID"/>
              </w:rPr>
            </w:pPr>
          </w:p>
        </w:tc>
        <w:tc>
          <w:tcPr>
            <w:tcW w:w="1417" w:type="dxa"/>
            <w:tcBorders>
              <w:top w:val="single" w:sz="4" w:space="0" w:color="auto"/>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val="id-ID" w:eastAsia="id-ID"/>
              </w:rPr>
            </w:pPr>
          </w:p>
        </w:tc>
      </w:tr>
      <w:tr w:rsidR="00F77339" w:rsidRPr="00F77339" w:rsidTr="006F7C5C">
        <w:trPr>
          <w:trHeight w:val="424"/>
        </w:trPr>
        <w:tc>
          <w:tcPr>
            <w:tcW w:w="1017"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P1</w:t>
            </w:r>
          </w:p>
        </w:tc>
        <w:tc>
          <w:tcPr>
            <w:tcW w:w="1359"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48,7 x 10</w:t>
            </w:r>
            <w:r w:rsidRPr="00F77339">
              <w:rPr>
                <w:rFonts w:eastAsia="Times New Roman" w:cs="Arial"/>
                <w:color w:val="000000"/>
                <w:sz w:val="18"/>
                <w:szCs w:val="18"/>
                <w:vertAlign w:val="superscript"/>
                <w:lang w:eastAsia="id-ID"/>
              </w:rPr>
              <w:t>6</w:t>
            </w:r>
          </w:p>
        </w:tc>
        <w:tc>
          <w:tcPr>
            <w:tcW w:w="1418"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0</w:t>
            </w:r>
          </w:p>
        </w:tc>
        <w:tc>
          <w:tcPr>
            <w:tcW w:w="1417"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0</w:t>
            </w:r>
          </w:p>
        </w:tc>
      </w:tr>
      <w:tr w:rsidR="00F77339" w:rsidRPr="00F77339" w:rsidTr="006F7C5C">
        <w:trPr>
          <w:trHeight w:val="339"/>
        </w:trPr>
        <w:tc>
          <w:tcPr>
            <w:tcW w:w="1017"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P2</w:t>
            </w:r>
          </w:p>
        </w:tc>
        <w:tc>
          <w:tcPr>
            <w:tcW w:w="1359"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14,7 x 10</w:t>
            </w:r>
            <w:r w:rsidRPr="00F77339">
              <w:rPr>
                <w:rFonts w:eastAsia="Times New Roman" w:cs="Arial"/>
                <w:color w:val="000000"/>
                <w:sz w:val="18"/>
                <w:szCs w:val="18"/>
                <w:vertAlign w:val="superscript"/>
                <w:lang w:eastAsia="id-ID"/>
              </w:rPr>
              <w:t>2</w:t>
            </w:r>
          </w:p>
        </w:tc>
        <w:tc>
          <w:tcPr>
            <w:tcW w:w="1418"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42,29 x 10</w:t>
            </w:r>
            <w:r w:rsidRPr="00F77339">
              <w:rPr>
                <w:rFonts w:eastAsia="Times New Roman" w:cs="Arial"/>
                <w:color w:val="000000"/>
                <w:sz w:val="18"/>
                <w:szCs w:val="18"/>
                <w:vertAlign w:val="superscript"/>
                <w:lang w:eastAsia="id-ID"/>
              </w:rPr>
              <w:t>6</w:t>
            </w:r>
          </w:p>
        </w:tc>
        <w:tc>
          <w:tcPr>
            <w:tcW w:w="1417"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99,9</w:t>
            </w:r>
          </w:p>
        </w:tc>
      </w:tr>
      <w:tr w:rsidR="00F77339" w:rsidRPr="00F77339" w:rsidTr="006F7C5C">
        <w:trPr>
          <w:trHeight w:val="244"/>
        </w:trPr>
        <w:tc>
          <w:tcPr>
            <w:tcW w:w="1017"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P3</w:t>
            </w:r>
          </w:p>
        </w:tc>
        <w:tc>
          <w:tcPr>
            <w:tcW w:w="1359"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12,3 x 10</w:t>
            </w:r>
            <w:r w:rsidRPr="00F77339">
              <w:rPr>
                <w:rFonts w:eastAsia="Times New Roman" w:cs="Arial"/>
                <w:color w:val="000000"/>
                <w:sz w:val="18"/>
                <w:szCs w:val="18"/>
                <w:vertAlign w:val="superscript"/>
                <w:lang w:eastAsia="id-ID"/>
              </w:rPr>
              <w:t>2</w:t>
            </w:r>
          </w:p>
        </w:tc>
        <w:tc>
          <w:tcPr>
            <w:tcW w:w="1418"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42,29 x 10</w:t>
            </w:r>
            <w:r w:rsidRPr="00F77339">
              <w:rPr>
                <w:rFonts w:eastAsia="Times New Roman" w:cs="Arial"/>
                <w:color w:val="000000"/>
                <w:sz w:val="18"/>
                <w:szCs w:val="18"/>
                <w:vertAlign w:val="superscript"/>
                <w:lang w:eastAsia="id-ID"/>
              </w:rPr>
              <w:t>6</w:t>
            </w:r>
          </w:p>
        </w:tc>
        <w:tc>
          <w:tcPr>
            <w:tcW w:w="1417" w:type="dxa"/>
            <w:tcBorders>
              <w:top w:val="nil"/>
              <w:left w:val="nil"/>
              <w:bottom w:val="nil"/>
              <w:right w:val="nil"/>
            </w:tcBorders>
            <w:shd w:val="clear" w:color="auto" w:fill="auto"/>
            <w:noWrap/>
            <w:vAlign w:val="center"/>
            <w:hideMark/>
          </w:tcPr>
          <w:p w:rsidR="00F77339" w:rsidRPr="00F77339" w:rsidRDefault="00F77339" w:rsidP="00F77339">
            <w:pPr>
              <w:jc w:val="center"/>
              <w:rPr>
                <w:rFonts w:cs="Arial"/>
                <w:sz w:val="18"/>
                <w:szCs w:val="18"/>
              </w:rPr>
            </w:pPr>
            <w:r w:rsidRPr="00F77339">
              <w:rPr>
                <w:rFonts w:eastAsia="Times New Roman" w:cs="Arial"/>
                <w:color w:val="000000"/>
                <w:sz w:val="18"/>
                <w:szCs w:val="18"/>
                <w:lang w:eastAsia="id-ID"/>
              </w:rPr>
              <w:t>99,9</w:t>
            </w:r>
          </w:p>
        </w:tc>
      </w:tr>
      <w:tr w:rsidR="00F77339" w:rsidRPr="00F77339" w:rsidTr="006F7C5C">
        <w:trPr>
          <w:trHeight w:val="300"/>
        </w:trPr>
        <w:tc>
          <w:tcPr>
            <w:tcW w:w="1017"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P4</w:t>
            </w:r>
          </w:p>
        </w:tc>
        <w:tc>
          <w:tcPr>
            <w:tcW w:w="1359"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15,3 x 10</w:t>
            </w:r>
            <w:r w:rsidRPr="00F77339">
              <w:rPr>
                <w:rFonts w:eastAsia="Times New Roman" w:cs="Arial"/>
                <w:color w:val="000000"/>
                <w:sz w:val="18"/>
                <w:szCs w:val="18"/>
                <w:vertAlign w:val="superscript"/>
                <w:lang w:eastAsia="id-ID"/>
              </w:rPr>
              <w:t>2</w:t>
            </w:r>
          </w:p>
        </w:tc>
        <w:tc>
          <w:tcPr>
            <w:tcW w:w="1418" w:type="dxa"/>
            <w:tcBorders>
              <w:top w:val="nil"/>
              <w:left w:val="nil"/>
              <w:bottom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42,29 x 10</w:t>
            </w:r>
            <w:r w:rsidRPr="00F77339">
              <w:rPr>
                <w:rFonts w:eastAsia="Times New Roman" w:cs="Arial"/>
                <w:color w:val="000000"/>
                <w:sz w:val="18"/>
                <w:szCs w:val="18"/>
                <w:vertAlign w:val="superscript"/>
                <w:lang w:eastAsia="id-ID"/>
              </w:rPr>
              <w:t>6</w:t>
            </w:r>
          </w:p>
        </w:tc>
        <w:tc>
          <w:tcPr>
            <w:tcW w:w="1417" w:type="dxa"/>
            <w:tcBorders>
              <w:top w:val="nil"/>
              <w:left w:val="nil"/>
              <w:bottom w:val="nil"/>
              <w:right w:val="nil"/>
            </w:tcBorders>
            <w:shd w:val="clear" w:color="auto" w:fill="auto"/>
            <w:noWrap/>
            <w:vAlign w:val="center"/>
            <w:hideMark/>
          </w:tcPr>
          <w:p w:rsidR="00F77339" w:rsidRPr="00F77339" w:rsidRDefault="00F77339" w:rsidP="00F77339">
            <w:pPr>
              <w:jc w:val="center"/>
              <w:rPr>
                <w:rFonts w:cs="Arial"/>
                <w:sz w:val="18"/>
                <w:szCs w:val="18"/>
              </w:rPr>
            </w:pPr>
            <w:r w:rsidRPr="00F77339">
              <w:rPr>
                <w:rFonts w:eastAsia="Times New Roman" w:cs="Arial"/>
                <w:color w:val="000000"/>
                <w:sz w:val="18"/>
                <w:szCs w:val="18"/>
                <w:lang w:eastAsia="id-ID"/>
              </w:rPr>
              <w:t>99,9</w:t>
            </w:r>
          </w:p>
        </w:tc>
      </w:tr>
      <w:tr w:rsidR="00F77339" w:rsidRPr="00F77339" w:rsidTr="006F7C5C">
        <w:trPr>
          <w:trHeight w:val="300"/>
        </w:trPr>
        <w:tc>
          <w:tcPr>
            <w:tcW w:w="1017" w:type="dxa"/>
            <w:tcBorders>
              <w:top w:val="nil"/>
              <w:left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P5</w:t>
            </w:r>
          </w:p>
        </w:tc>
        <w:tc>
          <w:tcPr>
            <w:tcW w:w="1359" w:type="dxa"/>
            <w:tcBorders>
              <w:top w:val="nil"/>
              <w:left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14 x 10</w:t>
            </w:r>
            <w:r w:rsidRPr="00F77339">
              <w:rPr>
                <w:rFonts w:eastAsia="Times New Roman" w:cs="Arial"/>
                <w:color w:val="000000"/>
                <w:sz w:val="18"/>
                <w:szCs w:val="18"/>
                <w:vertAlign w:val="superscript"/>
                <w:lang w:eastAsia="id-ID"/>
              </w:rPr>
              <w:t>2</w:t>
            </w:r>
          </w:p>
        </w:tc>
        <w:tc>
          <w:tcPr>
            <w:tcW w:w="1418" w:type="dxa"/>
            <w:tcBorders>
              <w:top w:val="nil"/>
              <w:left w:val="nil"/>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42,29 x 10</w:t>
            </w:r>
            <w:r w:rsidRPr="00F77339">
              <w:rPr>
                <w:rFonts w:eastAsia="Times New Roman" w:cs="Arial"/>
                <w:color w:val="000000"/>
                <w:sz w:val="18"/>
                <w:szCs w:val="18"/>
                <w:vertAlign w:val="superscript"/>
                <w:lang w:eastAsia="id-ID"/>
              </w:rPr>
              <w:t>6</w:t>
            </w:r>
          </w:p>
        </w:tc>
        <w:tc>
          <w:tcPr>
            <w:tcW w:w="1417" w:type="dxa"/>
            <w:tcBorders>
              <w:top w:val="nil"/>
              <w:left w:val="nil"/>
              <w:right w:val="nil"/>
            </w:tcBorders>
            <w:shd w:val="clear" w:color="auto" w:fill="auto"/>
            <w:noWrap/>
            <w:vAlign w:val="center"/>
            <w:hideMark/>
          </w:tcPr>
          <w:p w:rsidR="00F77339" w:rsidRPr="00F77339" w:rsidRDefault="00F77339" w:rsidP="00F77339">
            <w:pPr>
              <w:jc w:val="center"/>
              <w:rPr>
                <w:rFonts w:cs="Arial"/>
                <w:sz w:val="18"/>
                <w:szCs w:val="18"/>
              </w:rPr>
            </w:pPr>
            <w:r w:rsidRPr="00F77339">
              <w:rPr>
                <w:rFonts w:eastAsia="Times New Roman" w:cs="Arial"/>
                <w:color w:val="000000"/>
                <w:sz w:val="18"/>
                <w:szCs w:val="18"/>
                <w:lang w:eastAsia="id-ID"/>
              </w:rPr>
              <w:t>99,9</w:t>
            </w:r>
          </w:p>
        </w:tc>
      </w:tr>
      <w:tr w:rsidR="00F77339" w:rsidRPr="00F77339" w:rsidTr="006F7C5C">
        <w:trPr>
          <w:trHeight w:val="300"/>
        </w:trPr>
        <w:tc>
          <w:tcPr>
            <w:tcW w:w="1017" w:type="dxa"/>
            <w:tcBorders>
              <w:top w:val="nil"/>
              <w:left w:val="nil"/>
              <w:bottom w:val="single" w:sz="4" w:space="0" w:color="auto"/>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P6</w:t>
            </w:r>
          </w:p>
        </w:tc>
        <w:tc>
          <w:tcPr>
            <w:tcW w:w="1359" w:type="dxa"/>
            <w:tcBorders>
              <w:top w:val="nil"/>
              <w:left w:val="nil"/>
              <w:bottom w:val="single" w:sz="4" w:space="0" w:color="auto"/>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15 x 10</w:t>
            </w:r>
            <w:r w:rsidRPr="00F77339">
              <w:rPr>
                <w:rFonts w:eastAsia="Times New Roman" w:cs="Arial"/>
                <w:color w:val="000000"/>
                <w:sz w:val="18"/>
                <w:szCs w:val="18"/>
                <w:vertAlign w:val="superscript"/>
                <w:lang w:eastAsia="id-ID"/>
              </w:rPr>
              <w:t>2</w:t>
            </w:r>
          </w:p>
        </w:tc>
        <w:tc>
          <w:tcPr>
            <w:tcW w:w="1418" w:type="dxa"/>
            <w:tcBorders>
              <w:top w:val="nil"/>
              <w:left w:val="nil"/>
              <w:bottom w:val="single" w:sz="4" w:space="0" w:color="auto"/>
              <w:right w:val="nil"/>
            </w:tcBorders>
            <w:shd w:val="clear" w:color="auto" w:fill="auto"/>
            <w:noWrap/>
            <w:vAlign w:val="center"/>
            <w:hideMark/>
          </w:tcPr>
          <w:p w:rsidR="00F77339" w:rsidRPr="00F77339" w:rsidRDefault="00F77339" w:rsidP="00F77339">
            <w:pPr>
              <w:jc w:val="center"/>
              <w:rPr>
                <w:rFonts w:eastAsia="Times New Roman" w:cs="Arial"/>
                <w:color w:val="000000"/>
                <w:sz w:val="18"/>
                <w:szCs w:val="18"/>
                <w:lang w:eastAsia="id-ID"/>
              </w:rPr>
            </w:pPr>
            <w:r w:rsidRPr="00F77339">
              <w:rPr>
                <w:rFonts w:eastAsia="Times New Roman" w:cs="Arial"/>
                <w:color w:val="000000"/>
                <w:sz w:val="18"/>
                <w:szCs w:val="18"/>
                <w:lang w:eastAsia="id-ID"/>
              </w:rPr>
              <w:t>42,29 x 10</w:t>
            </w:r>
            <w:r w:rsidRPr="00F77339">
              <w:rPr>
                <w:rFonts w:eastAsia="Times New Roman" w:cs="Arial"/>
                <w:color w:val="000000"/>
                <w:sz w:val="18"/>
                <w:szCs w:val="18"/>
                <w:vertAlign w:val="superscript"/>
                <w:lang w:eastAsia="id-ID"/>
              </w:rPr>
              <w:t>6</w:t>
            </w:r>
          </w:p>
        </w:tc>
        <w:tc>
          <w:tcPr>
            <w:tcW w:w="1417" w:type="dxa"/>
            <w:tcBorders>
              <w:top w:val="nil"/>
              <w:left w:val="nil"/>
              <w:bottom w:val="single" w:sz="4" w:space="0" w:color="auto"/>
              <w:right w:val="nil"/>
            </w:tcBorders>
            <w:shd w:val="clear" w:color="auto" w:fill="auto"/>
            <w:noWrap/>
            <w:vAlign w:val="center"/>
            <w:hideMark/>
          </w:tcPr>
          <w:p w:rsidR="00F77339" w:rsidRPr="00F77339" w:rsidRDefault="00F77339" w:rsidP="00F77339">
            <w:pPr>
              <w:jc w:val="center"/>
              <w:rPr>
                <w:rFonts w:cs="Arial"/>
                <w:sz w:val="18"/>
                <w:szCs w:val="18"/>
              </w:rPr>
            </w:pPr>
            <w:r w:rsidRPr="00F77339">
              <w:rPr>
                <w:rFonts w:eastAsia="Times New Roman" w:cs="Arial"/>
                <w:color w:val="000000"/>
                <w:sz w:val="18"/>
                <w:szCs w:val="18"/>
                <w:lang w:eastAsia="id-ID"/>
              </w:rPr>
              <w:t>99,9</w:t>
            </w:r>
          </w:p>
        </w:tc>
      </w:tr>
    </w:tbl>
    <w:p w:rsidR="00BF2268" w:rsidRPr="00BF2268" w:rsidRDefault="00BF2268" w:rsidP="00BF2268">
      <w:pPr>
        <w:jc w:val="both"/>
        <w:rPr>
          <w:rFonts w:cs="Arial"/>
          <w:sz w:val="18"/>
          <w:szCs w:val="18"/>
        </w:rPr>
      </w:pPr>
      <w:r w:rsidRPr="00BF2268">
        <w:rPr>
          <w:rFonts w:eastAsiaTheme="minorEastAsia" w:cs="Arial"/>
          <w:sz w:val="18"/>
          <w:szCs w:val="18"/>
        </w:rPr>
        <w:t>K</w:t>
      </w:r>
      <w:r w:rsidRPr="00BF2268">
        <w:rPr>
          <w:rFonts w:cs="Arial"/>
          <w:sz w:val="18"/>
          <w:szCs w:val="18"/>
          <w:lang w:val="id-ID"/>
        </w:rPr>
        <w:t>=</w:t>
      </w:r>
      <w:r>
        <w:rPr>
          <w:rFonts w:eastAsiaTheme="minorEastAsia" w:cs="Arial"/>
          <w:sz w:val="18"/>
          <w:szCs w:val="18"/>
        </w:rPr>
        <w:t>control</w:t>
      </w:r>
      <w:r w:rsidRPr="00BF2268">
        <w:rPr>
          <w:rFonts w:eastAsiaTheme="minorEastAsia" w:cs="Arial"/>
          <w:sz w:val="18"/>
          <w:szCs w:val="18"/>
        </w:rPr>
        <w:t>, P1</w:t>
      </w:r>
      <w:r w:rsidRPr="00BF2268">
        <w:rPr>
          <w:rFonts w:cs="Arial"/>
          <w:sz w:val="18"/>
          <w:szCs w:val="18"/>
          <w:lang w:val="id-ID"/>
        </w:rPr>
        <w:t>=</w:t>
      </w:r>
      <w:r w:rsidRPr="00BF2268">
        <w:rPr>
          <w:rFonts w:eastAsia="Times New Roman" w:cs="Arial"/>
          <w:i/>
          <w:sz w:val="18"/>
          <w:szCs w:val="18"/>
          <w:lang w:eastAsia="id-ID"/>
        </w:rPr>
        <w:t>bone cement</w:t>
      </w:r>
      <w:r w:rsidRPr="00BF2268">
        <w:rPr>
          <w:rFonts w:eastAsiaTheme="minorEastAsia" w:cs="Arial"/>
          <w:sz w:val="18"/>
          <w:szCs w:val="18"/>
        </w:rPr>
        <w:t xml:space="preserve"> </w:t>
      </w:r>
      <w:r>
        <w:rPr>
          <w:rFonts w:eastAsiaTheme="minorEastAsia" w:cs="Arial"/>
          <w:sz w:val="18"/>
          <w:szCs w:val="18"/>
        </w:rPr>
        <w:t>without</w:t>
      </w:r>
      <w:r w:rsidRPr="00BF2268">
        <w:rPr>
          <w:rFonts w:eastAsiaTheme="minorEastAsia" w:cs="Arial"/>
          <w:sz w:val="18"/>
          <w:szCs w:val="18"/>
        </w:rPr>
        <w:t xml:space="preserve"> gentami</w:t>
      </w:r>
      <w:r>
        <w:rPr>
          <w:rFonts w:eastAsiaTheme="minorEastAsia" w:cs="Arial"/>
          <w:sz w:val="18"/>
          <w:szCs w:val="18"/>
        </w:rPr>
        <w:t>c</w:t>
      </w:r>
      <w:r w:rsidRPr="00BF2268">
        <w:rPr>
          <w:rFonts w:eastAsiaTheme="minorEastAsia" w:cs="Arial"/>
          <w:sz w:val="18"/>
          <w:szCs w:val="18"/>
        </w:rPr>
        <w:t>in, P2</w:t>
      </w:r>
      <w:r w:rsidRPr="00BF2268">
        <w:rPr>
          <w:rFonts w:cs="Arial"/>
          <w:sz w:val="18"/>
          <w:szCs w:val="18"/>
          <w:lang w:val="id-ID"/>
        </w:rPr>
        <w:t>=</w:t>
      </w:r>
      <w:r w:rsidRPr="00BF2268">
        <w:rPr>
          <w:rFonts w:eastAsia="Times New Roman" w:cs="Arial"/>
          <w:i/>
          <w:sz w:val="18"/>
          <w:szCs w:val="18"/>
          <w:lang w:eastAsia="id-ID"/>
        </w:rPr>
        <w:t xml:space="preserve"> bone cement</w:t>
      </w:r>
      <w:r w:rsidRPr="00BF2268">
        <w:rPr>
          <w:rFonts w:eastAsiaTheme="minorEastAsia" w:cs="Arial"/>
          <w:sz w:val="18"/>
          <w:szCs w:val="18"/>
        </w:rPr>
        <w:t>-gentami</w:t>
      </w:r>
      <w:r>
        <w:rPr>
          <w:rFonts w:eastAsiaTheme="minorEastAsia" w:cs="Arial"/>
          <w:sz w:val="18"/>
          <w:szCs w:val="18"/>
        </w:rPr>
        <w:t>c</w:t>
      </w:r>
      <w:r w:rsidRPr="00BF2268">
        <w:rPr>
          <w:rFonts w:eastAsiaTheme="minorEastAsia" w:cs="Arial"/>
          <w:sz w:val="18"/>
          <w:szCs w:val="18"/>
        </w:rPr>
        <w:t>in</w:t>
      </w:r>
      <w:r w:rsidRPr="00BF2268">
        <w:rPr>
          <w:rFonts w:cs="Arial"/>
          <w:sz w:val="18"/>
          <w:szCs w:val="18"/>
        </w:rPr>
        <w:t xml:space="preserve"> </w:t>
      </w:r>
      <w:r w:rsidRPr="00BF2268">
        <w:rPr>
          <w:rFonts w:eastAsiaTheme="minorEastAsia" w:cs="Arial"/>
          <w:sz w:val="18"/>
          <w:szCs w:val="18"/>
        </w:rPr>
        <w:t>1,25%, P3</w:t>
      </w:r>
      <w:r w:rsidRPr="00BF2268">
        <w:rPr>
          <w:rFonts w:cs="Arial"/>
          <w:sz w:val="18"/>
          <w:szCs w:val="18"/>
          <w:lang w:val="id-ID"/>
        </w:rPr>
        <w:t>=</w:t>
      </w:r>
      <w:r w:rsidRPr="00BF2268">
        <w:rPr>
          <w:rFonts w:eastAsia="Times New Roman" w:cs="Arial"/>
          <w:i/>
          <w:sz w:val="18"/>
          <w:szCs w:val="18"/>
          <w:lang w:eastAsia="id-ID"/>
        </w:rPr>
        <w:t>bone cement</w:t>
      </w:r>
      <w:r w:rsidRPr="00BF2268">
        <w:rPr>
          <w:rFonts w:eastAsiaTheme="minorEastAsia" w:cs="Arial"/>
          <w:sz w:val="18"/>
          <w:szCs w:val="18"/>
        </w:rPr>
        <w:t>-gentami</w:t>
      </w:r>
      <w:r>
        <w:rPr>
          <w:rFonts w:eastAsiaTheme="minorEastAsia" w:cs="Arial"/>
          <w:sz w:val="18"/>
          <w:szCs w:val="18"/>
        </w:rPr>
        <w:t>c</w:t>
      </w:r>
      <w:r w:rsidRPr="00BF2268">
        <w:rPr>
          <w:rFonts w:eastAsiaTheme="minorEastAsia" w:cs="Arial"/>
          <w:sz w:val="18"/>
          <w:szCs w:val="18"/>
        </w:rPr>
        <w:t>in 2,5%, P4</w:t>
      </w:r>
      <w:r w:rsidRPr="00BF2268">
        <w:rPr>
          <w:rFonts w:cs="Arial"/>
          <w:sz w:val="18"/>
          <w:szCs w:val="18"/>
          <w:lang w:val="id-ID"/>
        </w:rPr>
        <w:t>=</w:t>
      </w:r>
      <w:r w:rsidRPr="00BF2268">
        <w:rPr>
          <w:rFonts w:eastAsia="Times New Roman" w:cs="Arial"/>
          <w:i/>
          <w:sz w:val="18"/>
          <w:szCs w:val="18"/>
          <w:lang w:eastAsia="id-ID"/>
        </w:rPr>
        <w:t>bone cement</w:t>
      </w:r>
      <w:r w:rsidRPr="00BF2268">
        <w:rPr>
          <w:rFonts w:eastAsiaTheme="minorEastAsia" w:cs="Arial"/>
          <w:sz w:val="18"/>
          <w:szCs w:val="18"/>
        </w:rPr>
        <w:t>-gentami</w:t>
      </w:r>
      <w:r>
        <w:rPr>
          <w:rFonts w:eastAsiaTheme="minorEastAsia" w:cs="Arial"/>
          <w:sz w:val="18"/>
          <w:szCs w:val="18"/>
        </w:rPr>
        <w:t>c</w:t>
      </w:r>
      <w:r w:rsidRPr="00BF2268">
        <w:rPr>
          <w:rFonts w:eastAsiaTheme="minorEastAsia" w:cs="Arial"/>
          <w:sz w:val="18"/>
          <w:szCs w:val="18"/>
        </w:rPr>
        <w:t>in 5%, P5</w:t>
      </w:r>
      <w:r w:rsidRPr="00BF2268">
        <w:rPr>
          <w:rFonts w:cs="Arial"/>
          <w:sz w:val="18"/>
          <w:szCs w:val="18"/>
          <w:lang w:val="id-ID"/>
        </w:rPr>
        <w:t>=</w:t>
      </w:r>
      <w:r w:rsidRPr="00BF2268">
        <w:rPr>
          <w:rFonts w:eastAsiaTheme="minorEastAsia" w:cs="Arial"/>
          <w:sz w:val="18"/>
          <w:szCs w:val="18"/>
        </w:rPr>
        <w:t xml:space="preserve"> </w:t>
      </w:r>
      <w:r w:rsidRPr="00BF2268">
        <w:rPr>
          <w:rFonts w:eastAsia="Times New Roman" w:cs="Arial"/>
          <w:i/>
          <w:sz w:val="18"/>
          <w:szCs w:val="18"/>
          <w:lang w:eastAsia="id-ID"/>
        </w:rPr>
        <w:t>bone cement</w:t>
      </w:r>
      <w:r w:rsidRPr="00BF2268">
        <w:rPr>
          <w:rFonts w:eastAsiaTheme="minorEastAsia" w:cs="Arial"/>
          <w:sz w:val="18"/>
          <w:szCs w:val="18"/>
        </w:rPr>
        <w:t>-gentami</w:t>
      </w:r>
      <w:r>
        <w:rPr>
          <w:rFonts w:eastAsiaTheme="minorEastAsia" w:cs="Arial"/>
          <w:sz w:val="18"/>
          <w:szCs w:val="18"/>
        </w:rPr>
        <w:t>c</w:t>
      </w:r>
      <w:r w:rsidRPr="00BF2268">
        <w:rPr>
          <w:rFonts w:eastAsiaTheme="minorEastAsia" w:cs="Arial"/>
          <w:sz w:val="18"/>
          <w:szCs w:val="18"/>
        </w:rPr>
        <w:t>in 10%, P6</w:t>
      </w:r>
      <w:r w:rsidRPr="00BF2268">
        <w:rPr>
          <w:rFonts w:cs="Arial"/>
          <w:sz w:val="18"/>
          <w:szCs w:val="18"/>
          <w:lang w:val="id-ID"/>
        </w:rPr>
        <w:t>=</w:t>
      </w:r>
      <w:r w:rsidRPr="00BF2268">
        <w:rPr>
          <w:rFonts w:eastAsia="Times New Roman" w:cs="Arial"/>
          <w:i/>
          <w:sz w:val="18"/>
          <w:szCs w:val="18"/>
          <w:lang w:eastAsia="id-ID"/>
        </w:rPr>
        <w:t>bone cement</w:t>
      </w:r>
      <w:r w:rsidRPr="00BF2268">
        <w:rPr>
          <w:rFonts w:eastAsiaTheme="minorEastAsia" w:cs="Arial"/>
          <w:sz w:val="18"/>
          <w:szCs w:val="18"/>
        </w:rPr>
        <w:t>-gentami</w:t>
      </w:r>
      <w:r>
        <w:rPr>
          <w:rFonts w:eastAsiaTheme="minorEastAsia" w:cs="Arial"/>
          <w:sz w:val="18"/>
          <w:szCs w:val="18"/>
        </w:rPr>
        <w:t>c</w:t>
      </w:r>
      <w:r w:rsidRPr="00BF2268">
        <w:rPr>
          <w:rFonts w:eastAsiaTheme="minorEastAsia" w:cs="Arial"/>
          <w:sz w:val="18"/>
          <w:szCs w:val="18"/>
        </w:rPr>
        <w:t>in 20% (P6), CFU</w:t>
      </w:r>
      <w:r w:rsidRPr="00BF2268">
        <w:rPr>
          <w:rFonts w:cs="Arial"/>
          <w:sz w:val="18"/>
          <w:szCs w:val="18"/>
          <w:lang w:val="id-ID"/>
        </w:rPr>
        <w:t>=</w:t>
      </w:r>
      <w:r w:rsidRPr="00BF2268">
        <w:rPr>
          <w:rFonts w:cs="Arial"/>
          <w:i/>
          <w:sz w:val="18"/>
          <w:szCs w:val="18"/>
        </w:rPr>
        <w:t>colony forming unit</w:t>
      </w:r>
    </w:p>
    <w:p w:rsidR="00F77339" w:rsidRDefault="00F77339"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br/>
        <w:t xml:space="preserve">Recent Publications </w:t>
      </w:r>
    </w:p>
    <w:p w:rsidR="009B51D0" w:rsidRDefault="009B51D0" w:rsidP="005973B9">
      <w:pPr>
        <w:spacing w:line="204" w:lineRule="exact"/>
        <w:rPr>
          <w:rFonts w:ascii="Arial"/>
          <w:b/>
          <w:sz w:val="20"/>
        </w:rPr>
      </w:pPr>
    </w:p>
    <w:p w:rsidR="009B51D0" w:rsidRPr="00AC53EE" w:rsidRDefault="009B51D0" w:rsidP="009B51D0">
      <w:pPr>
        <w:pStyle w:val="ListParagraph"/>
        <w:widowControl/>
        <w:numPr>
          <w:ilvl w:val="0"/>
          <w:numId w:val="4"/>
        </w:numPr>
        <w:spacing w:before="0" w:line="276" w:lineRule="auto"/>
        <w:ind w:left="284" w:hanging="284"/>
        <w:contextualSpacing/>
        <w:rPr>
          <w:rFonts w:ascii="Tw Cen MT" w:hAnsi="Tw Cen MT" w:cs="Arial"/>
          <w:bCs/>
          <w:color w:val="000000" w:themeColor="text1"/>
          <w:sz w:val="18"/>
          <w:szCs w:val="18"/>
        </w:rPr>
      </w:pPr>
      <w:r w:rsidRPr="00AC53EE">
        <w:rPr>
          <w:rFonts w:ascii="Tw Cen MT" w:hAnsi="Tw Cen MT" w:cs="Arial"/>
          <w:color w:val="000000" w:themeColor="text1"/>
          <w:sz w:val="18"/>
          <w:szCs w:val="18"/>
        </w:rPr>
        <w:t xml:space="preserve">Göçer H, Emir D, Önger ME, Dabak N. </w:t>
      </w:r>
      <w:r w:rsidRPr="00AC53EE">
        <w:rPr>
          <w:rFonts w:ascii="Tw Cen MT" w:hAnsi="Tw Cen MT" w:cs="Arial"/>
          <w:bCs/>
          <w:color w:val="000000" w:themeColor="text1"/>
          <w:sz w:val="18"/>
          <w:szCs w:val="18"/>
        </w:rPr>
        <w:t xml:space="preserve">Effects of bone cement loaded with teicoplanin, N-acetylcysteine or their combination on </w:t>
      </w:r>
      <w:r w:rsidRPr="00AC53EE">
        <w:rPr>
          <w:rFonts w:ascii="Tw Cen MT" w:hAnsi="Tw Cen MT" w:cs="Arial"/>
          <w:bCs/>
          <w:iCs/>
          <w:color w:val="000000" w:themeColor="text1"/>
          <w:sz w:val="18"/>
          <w:szCs w:val="18"/>
        </w:rPr>
        <w:t xml:space="preserve">Staphylococcus aureus </w:t>
      </w:r>
      <w:r w:rsidRPr="00AC53EE">
        <w:rPr>
          <w:rFonts w:ascii="Tw Cen MT" w:hAnsi="Tw Cen MT" w:cs="Arial"/>
          <w:bCs/>
          <w:color w:val="000000" w:themeColor="text1"/>
          <w:sz w:val="18"/>
          <w:szCs w:val="18"/>
        </w:rPr>
        <w:t xml:space="preserve">biofilm formation: an </w:t>
      </w:r>
      <w:r w:rsidRPr="00AC53EE">
        <w:rPr>
          <w:rFonts w:ascii="Tw Cen MT" w:hAnsi="Tw Cen MT" w:cs="Arial"/>
          <w:bCs/>
          <w:iCs/>
          <w:color w:val="000000" w:themeColor="text1"/>
          <w:sz w:val="18"/>
          <w:szCs w:val="18"/>
        </w:rPr>
        <w:t xml:space="preserve">in vitro </w:t>
      </w:r>
      <w:r w:rsidRPr="00AC53EE">
        <w:rPr>
          <w:rFonts w:ascii="Tw Cen MT" w:hAnsi="Tw Cen MT" w:cs="Arial"/>
          <w:bCs/>
          <w:color w:val="000000" w:themeColor="text1"/>
          <w:sz w:val="18"/>
          <w:szCs w:val="18"/>
        </w:rPr>
        <w:t>study.</w:t>
      </w:r>
      <w:r w:rsidRPr="00AC53EE">
        <w:rPr>
          <w:rFonts w:ascii="Tw Cen MT" w:hAnsi="Tw Cen MT" w:cs="Arial"/>
          <w:color w:val="000000" w:themeColor="text1"/>
          <w:sz w:val="18"/>
          <w:szCs w:val="18"/>
        </w:rPr>
        <w:t xml:space="preserve"> </w:t>
      </w:r>
      <w:hyperlink r:id="rId9" w:tooltip="Eklem hastaliklari ve cerrahisi = Joint diseases &amp; related surgery." w:history="1">
        <w:r w:rsidRPr="00AC53EE">
          <w:rPr>
            <w:rStyle w:val="Hyperlink"/>
            <w:rFonts w:ascii="Tw Cen MT" w:hAnsi="Tw Cen MT" w:cs="Arial"/>
            <w:color w:val="000000" w:themeColor="text1"/>
            <w:sz w:val="18"/>
            <w:szCs w:val="18"/>
            <w:u w:val="none"/>
          </w:rPr>
          <w:t>Eklem Hastalik Cerrahisi.</w:t>
        </w:r>
      </w:hyperlink>
      <w:r w:rsidRPr="00AC53EE">
        <w:rPr>
          <w:rFonts w:ascii="Tw Cen MT" w:hAnsi="Tw Cen MT" w:cs="Arial"/>
          <w:color w:val="000000" w:themeColor="text1"/>
          <w:sz w:val="18"/>
          <w:szCs w:val="18"/>
        </w:rPr>
        <w:t xml:space="preserve"> 2017;28(1):13-8.</w:t>
      </w:r>
    </w:p>
    <w:p w:rsidR="009B51D0" w:rsidRPr="00AC53EE" w:rsidRDefault="009B51D0" w:rsidP="009B51D0">
      <w:pPr>
        <w:pStyle w:val="ListParagraph"/>
        <w:widowControl/>
        <w:numPr>
          <w:ilvl w:val="0"/>
          <w:numId w:val="4"/>
        </w:numPr>
        <w:spacing w:before="0" w:line="276" w:lineRule="auto"/>
        <w:ind w:left="284" w:hanging="284"/>
        <w:contextualSpacing/>
        <w:rPr>
          <w:rFonts w:ascii="Tw Cen MT" w:hAnsi="Tw Cen MT" w:cs="Arial"/>
          <w:color w:val="000000" w:themeColor="text1"/>
          <w:sz w:val="18"/>
          <w:szCs w:val="18"/>
        </w:rPr>
      </w:pPr>
      <w:r w:rsidRPr="00AC53EE">
        <w:rPr>
          <w:rFonts w:ascii="Tw Cen MT" w:eastAsia="Times New Roman" w:hAnsi="Tw Cen MT" w:cs="Arial"/>
          <w:color w:val="000000" w:themeColor="text1"/>
          <w:sz w:val="18"/>
          <w:szCs w:val="18"/>
          <w:lang w:eastAsia="id-ID"/>
        </w:rPr>
        <w:t>Qiu XS, Zheng X, Shi HF, Zhu YC, Guo X, Mao HJ, et al.</w:t>
      </w:r>
      <w:r w:rsidRPr="00AC53EE">
        <w:rPr>
          <w:rStyle w:val="fontstyle01"/>
          <w:rFonts w:ascii="Tw Cen MT" w:hAnsi="Tw Cen MT"/>
          <w:color w:val="000000" w:themeColor="text1"/>
        </w:rPr>
        <w:t xml:space="preserve"> </w:t>
      </w:r>
      <w:r w:rsidRPr="00AC53EE">
        <w:rPr>
          <w:rFonts w:ascii="Tw Cen MT" w:hAnsi="Tw Cen MT" w:cs="Arial"/>
          <w:color w:val="000000" w:themeColor="text1"/>
          <w:sz w:val="18"/>
          <w:szCs w:val="18"/>
        </w:rPr>
        <w:t>Antibiotic-impregnated cement spacer as definitive management for osteomyelitis.</w:t>
      </w:r>
      <w:r w:rsidRPr="00AC53EE">
        <w:rPr>
          <w:rStyle w:val="fontstyle01"/>
          <w:rFonts w:ascii="Tw Cen MT" w:hAnsi="Tw Cen MT"/>
          <w:color w:val="000000" w:themeColor="text1"/>
        </w:rPr>
        <w:t xml:space="preserve"> </w:t>
      </w:r>
      <w:r w:rsidRPr="00AC53EE">
        <w:rPr>
          <w:rStyle w:val="Emphasis"/>
          <w:rFonts w:ascii="Tw Cen MT" w:hAnsi="Tw Cen MT" w:cs="Arial"/>
          <w:i w:val="0"/>
          <w:color w:val="000000" w:themeColor="text1"/>
          <w:sz w:val="18"/>
          <w:szCs w:val="18"/>
        </w:rPr>
        <w:t>BMC</w:t>
      </w:r>
      <w:r w:rsidRPr="00AC53EE">
        <w:rPr>
          <w:rStyle w:val="st"/>
          <w:rFonts w:ascii="Tw Cen MT" w:hAnsi="Tw Cen MT" w:cs="Arial"/>
          <w:color w:val="000000" w:themeColor="text1"/>
          <w:sz w:val="18"/>
          <w:szCs w:val="18"/>
        </w:rPr>
        <w:t xml:space="preserve"> Musculoskelet Disord.</w:t>
      </w:r>
      <w:r w:rsidRPr="00AC53EE">
        <w:rPr>
          <w:rFonts w:ascii="Tw Cen MT" w:hAnsi="Tw Cen MT" w:cs="Arial"/>
          <w:color w:val="000000" w:themeColor="text1"/>
          <w:sz w:val="18"/>
          <w:szCs w:val="18"/>
        </w:rPr>
        <w:t xml:space="preserve"> 2015;16:254.</w:t>
      </w:r>
    </w:p>
    <w:p w:rsidR="009B51D0" w:rsidRPr="00AC53EE" w:rsidRDefault="009B51D0" w:rsidP="009B51D0">
      <w:pPr>
        <w:pStyle w:val="ListParagraph"/>
        <w:widowControl/>
        <w:numPr>
          <w:ilvl w:val="0"/>
          <w:numId w:val="4"/>
        </w:numPr>
        <w:spacing w:before="0" w:after="200" w:line="276" w:lineRule="auto"/>
        <w:ind w:left="284" w:hanging="284"/>
        <w:contextualSpacing/>
        <w:rPr>
          <w:rFonts w:ascii="Tw Cen MT" w:hAnsi="Tw Cen MT" w:cs="Arial"/>
          <w:color w:val="000000" w:themeColor="text1"/>
          <w:sz w:val="18"/>
          <w:szCs w:val="18"/>
        </w:rPr>
      </w:pPr>
      <w:r w:rsidRPr="00AC53EE">
        <w:rPr>
          <w:rFonts w:ascii="Tw Cen MT" w:hAnsi="Tw Cen MT" w:cs="Arial"/>
          <w:color w:val="000000" w:themeColor="text1"/>
          <w:sz w:val="18"/>
          <w:szCs w:val="18"/>
        </w:rPr>
        <w:t xml:space="preserve">Azi ML, Junior MK, Martinez R, Paccola CAJ. Bone cement and gentamicin in the treatment of bone infection: background and in vitro study. </w:t>
      </w:r>
      <w:r w:rsidRPr="00AC53EE">
        <w:rPr>
          <w:rFonts w:ascii="Tw Cen MT" w:hAnsi="Tw Cen MT" w:cs="Arial"/>
          <w:iCs/>
          <w:color w:val="000000" w:themeColor="text1"/>
          <w:sz w:val="18"/>
          <w:szCs w:val="18"/>
        </w:rPr>
        <w:t xml:space="preserve">Acta Ortop Bras. </w:t>
      </w:r>
      <w:r w:rsidRPr="00AC53EE">
        <w:rPr>
          <w:rFonts w:ascii="Tw Cen MT" w:hAnsi="Tw Cen MT" w:cs="Arial"/>
          <w:color w:val="000000" w:themeColor="text1"/>
          <w:sz w:val="18"/>
          <w:szCs w:val="18"/>
        </w:rPr>
        <w:t>2010;18(1): 31-4.</w:t>
      </w:r>
    </w:p>
    <w:p w:rsidR="009B51D0" w:rsidRPr="00AC53EE" w:rsidRDefault="009B51D0" w:rsidP="009B51D0">
      <w:pPr>
        <w:pStyle w:val="ListParagraph"/>
        <w:widowControl/>
        <w:numPr>
          <w:ilvl w:val="0"/>
          <w:numId w:val="4"/>
        </w:numPr>
        <w:spacing w:before="0" w:after="200" w:line="276" w:lineRule="auto"/>
        <w:ind w:left="284" w:hanging="284"/>
        <w:contextualSpacing/>
        <w:rPr>
          <w:rFonts w:ascii="Tw Cen MT" w:hAnsi="Tw Cen MT" w:cs="Arial"/>
          <w:color w:val="000000" w:themeColor="text1"/>
          <w:sz w:val="18"/>
          <w:szCs w:val="18"/>
        </w:rPr>
      </w:pPr>
      <w:r w:rsidRPr="00AC53EE">
        <w:rPr>
          <w:rFonts w:ascii="Tw Cen MT" w:hAnsi="Tw Cen MT" w:cs="Arial"/>
          <w:color w:val="000000" w:themeColor="text1"/>
          <w:sz w:val="18"/>
          <w:szCs w:val="18"/>
        </w:rPr>
        <w:t xml:space="preserve">Chang YH, Tai CL, Hsu HY, Hsieh PH, Lee MS, Ueng SWN. </w:t>
      </w:r>
      <w:r w:rsidRPr="00AC53EE">
        <w:rPr>
          <w:rFonts w:ascii="Tw Cen MT" w:eastAsia="Times New Roman" w:hAnsi="Tw Cen MT" w:cs="Arial"/>
          <w:bCs/>
          <w:color w:val="000000" w:themeColor="text1"/>
          <w:sz w:val="18"/>
          <w:szCs w:val="18"/>
          <w:lang w:eastAsia="id-ID"/>
        </w:rPr>
        <w:t>Liquid antibiotics in bone cement an effective way to improve the efficiency of antibiotic release in antibiotic loaded bone</w:t>
      </w:r>
      <w:r w:rsidRPr="00AC53EE">
        <w:rPr>
          <w:rFonts w:ascii="Tw Cen MT" w:eastAsia="Times New Roman" w:hAnsi="Tw Cen MT" w:cs="Arial"/>
          <w:color w:val="000000" w:themeColor="text1"/>
          <w:sz w:val="18"/>
          <w:szCs w:val="18"/>
          <w:lang w:eastAsia="id-ID"/>
        </w:rPr>
        <w:t xml:space="preserve">. </w:t>
      </w:r>
      <w:r w:rsidRPr="00AC53EE">
        <w:rPr>
          <w:rFonts w:ascii="Tw Cen MT" w:hAnsi="Tw Cen MT" w:cs="Arial"/>
          <w:iCs/>
          <w:color w:val="000000" w:themeColor="text1"/>
          <w:sz w:val="18"/>
          <w:szCs w:val="18"/>
        </w:rPr>
        <w:t>Bone Joint Res</w:t>
      </w:r>
      <w:r w:rsidRPr="00AC53EE">
        <w:rPr>
          <w:rFonts w:ascii="Tw Cen MT" w:hAnsi="Tw Cen MT" w:cs="Arial"/>
          <w:color w:val="000000" w:themeColor="text1"/>
          <w:sz w:val="18"/>
          <w:szCs w:val="18"/>
        </w:rPr>
        <w:t>. 2014;3:246–51.</w:t>
      </w:r>
    </w:p>
    <w:p w:rsidR="009B51D0" w:rsidRPr="00AC53EE" w:rsidRDefault="009B51D0" w:rsidP="009B51D0">
      <w:pPr>
        <w:pStyle w:val="ListParagraph"/>
        <w:widowControl/>
        <w:numPr>
          <w:ilvl w:val="0"/>
          <w:numId w:val="4"/>
        </w:numPr>
        <w:spacing w:before="0" w:after="200" w:line="276" w:lineRule="auto"/>
        <w:ind w:left="284" w:hanging="284"/>
        <w:contextualSpacing/>
        <w:rPr>
          <w:rFonts w:ascii="Tw Cen MT" w:hAnsi="Tw Cen MT" w:cs="Arial"/>
          <w:color w:val="000000" w:themeColor="text1"/>
          <w:sz w:val="18"/>
          <w:szCs w:val="18"/>
        </w:rPr>
      </w:pPr>
      <w:hyperlink r:id="rId10" w:history="1">
        <w:r w:rsidRPr="00AC53EE">
          <w:rPr>
            <w:rStyle w:val="Hyperlink"/>
            <w:rFonts w:ascii="Tw Cen MT" w:hAnsi="Tw Cen MT" w:cs="Arial"/>
            <w:color w:val="000000" w:themeColor="text1"/>
            <w:sz w:val="18"/>
            <w:szCs w:val="18"/>
            <w:u w:val="none"/>
          </w:rPr>
          <w:t>Chang Y</w:t>
        </w:r>
      </w:hyperlink>
      <w:r w:rsidRPr="00AC53EE">
        <w:rPr>
          <w:rFonts w:ascii="Tw Cen MT" w:hAnsi="Tw Cen MT" w:cs="Arial"/>
          <w:color w:val="000000" w:themeColor="text1"/>
          <w:sz w:val="18"/>
          <w:szCs w:val="18"/>
        </w:rPr>
        <w:t xml:space="preserve">, </w:t>
      </w:r>
      <w:hyperlink r:id="rId11" w:history="1">
        <w:r w:rsidRPr="00AC53EE">
          <w:rPr>
            <w:rStyle w:val="Hyperlink"/>
            <w:rFonts w:ascii="Tw Cen MT" w:hAnsi="Tw Cen MT" w:cs="Arial"/>
            <w:color w:val="000000" w:themeColor="text1"/>
            <w:sz w:val="18"/>
            <w:szCs w:val="18"/>
            <w:u w:val="none"/>
          </w:rPr>
          <w:t>Tai CL</w:t>
        </w:r>
      </w:hyperlink>
      <w:r w:rsidRPr="00AC53EE">
        <w:rPr>
          <w:rFonts w:ascii="Tw Cen MT" w:hAnsi="Tw Cen MT" w:cs="Arial"/>
          <w:color w:val="000000" w:themeColor="text1"/>
          <w:sz w:val="18"/>
          <w:szCs w:val="18"/>
        </w:rPr>
        <w:t xml:space="preserve">, </w:t>
      </w:r>
      <w:hyperlink r:id="rId12" w:history="1">
        <w:r w:rsidRPr="00AC53EE">
          <w:rPr>
            <w:rStyle w:val="Hyperlink"/>
            <w:rFonts w:ascii="Tw Cen MT" w:hAnsi="Tw Cen MT" w:cs="Arial"/>
            <w:color w:val="000000" w:themeColor="text1"/>
            <w:sz w:val="18"/>
            <w:szCs w:val="18"/>
            <w:u w:val="none"/>
          </w:rPr>
          <w:t>Hsieh PH</w:t>
        </w:r>
      </w:hyperlink>
      <w:r w:rsidRPr="00AC53EE">
        <w:rPr>
          <w:rFonts w:ascii="Tw Cen MT" w:hAnsi="Tw Cen MT" w:cs="Arial"/>
          <w:color w:val="000000" w:themeColor="text1"/>
          <w:sz w:val="18"/>
          <w:szCs w:val="18"/>
        </w:rPr>
        <w:t xml:space="preserve">, </w:t>
      </w:r>
      <w:hyperlink r:id="rId13" w:history="1">
        <w:r w:rsidRPr="00AC53EE">
          <w:rPr>
            <w:rStyle w:val="Hyperlink"/>
            <w:rFonts w:ascii="Tw Cen MT" w:hAnsi="Tw Cen MT" w:cs="Arial"/>
            <w:color w:val="000000" w:themeColor="text1"/>
            <w:sz w:val="18"/>
            <w:szCs w:val="18"/>
            <w:u w:val="none"/>
          </w:rPr>
          <w:t>Ueng SW</w:t>
        </w:r>
      </w:hyperlink>
      <w:r w:rsidRPr="00AC53EE">
        <w:rPr>
          <w:rFonts w:ascii="Tw Cen MT" w:hAnsi="Tw Cen MT" w:cs="Arial"/>
          <w:color w:val="000000" w:themeColor="text1"/>
          <w:sz w:val="18"/>
          <w:szCs w:val="18"/>
        </w:rPr>
        <w:t xml:space="preserve">. </w:t>
      </w:r>
      <w:r w:rsidRPr="00AC53EE">
        <w:rPr>
          <w:rStyle w:val="highlight"/>
          <w:rFonts w:ascii="Tw Cen MT" w:hAnsi="Tw Cen MT" w:cs="Arial"/>
          <w:color w:val="000000" w:themeColor="text1"/>
          <w:sz w:val="18"/>
          <w:szCs w:val="18"/>
        </w:rPr>
        <w:t>Gentamicin</w:t>
      </w:r>
      <w:r w:rsidRPr="00AC53EE">
        <w:rPr>
          <w:rFonts w:ascii="Tw Cen MT" w:hAnsi="Tw Cen MT" w:cs="Arial"/>
          <w:color w:val="000000" w:themeColor="text1"/>
          <w:sz w:val="18"/>
          <w:szCs w:val="18"/>
        </w:rPr>
        <w:t xml:space="preserve"> in </w:t>
      </w:r>
      <w:r w:rsidRPr="00AC53EE">
        <w:rPr>
          <w:rStyle w:val="highlight"/>
          <w:rFonts w:ascii="Tw Cen MT" w:hAnsi="Tw Cen MT" w:cs="Arial"/>
          <w:color w:val="000000" w:themeColor="text1"/>
          <w:sz w:val="18"/>
          <w:szCs w:val="18"/>
        </w:rPr>
        <w:t>bone cement</w:t>
      </w:r>
      <w:r w:rsidRPr="00AC53EE">
        <w:rPr>
          <w:rFonts w:ascii="Tw Cen MT" w:hAnsi="Tw Cen MT" w:cs="Arial"/>
          <w:color w:val="000000" w:themeColor="text1"/>
          <w:sz w:val="18"/>
          <w:szCs w:val="18"/>
        </w:rPr>
        <w:t xml:space="preserve">: A potentially more effective prophylactic measure of infectionin joint arthroplasty. </w:t>
      </w:r>
      <w:hyperlink r:id="rId14" w:tooltip="Bone &amp; joint research." w:history="1">
        <w:r w:rsidRPr="00AC53EE">
          <w:rPr>
            <w:rStyle w:val="highlight"/>
            <w:rFonts w:ascii="Tw Cen MT" w:hAnsi="Tw Cen MT" w:cs="Arial"/>
            <w:color w:val="000000" w:themeColor="text1"/>
            <w:sz w:val="18"/>
            <w:szCs w:val="18"/>
          </w:rPr>
          <w:t>Bone</w:t>
        </w:r>
        <w:r w:rsidRPr="00AC53EE">
          <w:rPr>
            <w:rStyle w:val="Hyperlink"/>
            <w:rFonts w:ascii="Tw Cen MT" w:hAnsi="Tw Cen MT" w:cs="Arial"/>
            <w:color w:val="000000" w:themeColor="text1"/>
            <w:sz w:val="18"/>
            <w:szCs w:val="18"/>
            <w:u w:val="none"/>
          </w:rPr>
          <w:t xml:space="preserve"> Joint Res.</w:t>
        </w:r>
      </w:hyperlink>
      <w:r w:rsidRPr="00AC53EE">
        <w:rPr>
          <w:rFonts w:ascii="Tw Cen MT" w:hAnsi="Tw Cen MT" w:cs="Arial"/>
          <w:color w:val="000000" w:themeColor="text1"/>
          <w:sz w:val="18"/>
          <w:szCs w:val="18"/>
        </w:rPr>
        <w:t xml:space="preserve"> 2013;2(10):220-6.</w:t>
      </w:r>
    </w:p>
    <w:p w:rsidR="009B51D0" w:rsidRPr="00AC53EE" w:rsidRDefault="009B51D0" w:rsidP="009B51D0">
      <w:pPr>
        <w:pStyle w:val="ListParagraph"/>
        <w:widowControl/>
        <w:numPr>
          <w:ilvl w:val="0"/>
          <w:numId w:val="4"/>
        </w:numPr>
        <w:spacing w:before="0" w:line="276" w:lineRule="auto"/>
        <w:ind w:left="284" w:hanging="284"/>
        <w:contextualSpacing/>
        <w:rPr>
          <w:rStyle w:val="fontstyle01"/>
          <w:rFonts w:ascii="Tw Cen MT" w:hAnsi="Tw Cen MT"/>
          <w:color w:val="000000" w:themeColor="text1"/>
        </w:rPr>
      </w:pPr>
      <w:r w:rsidRPr="00AC53EE">
        <w:rPr>
          <w:rFonts w:ascii="Tw Cen MT" w:hAnsi="Tw Cen MT" w:cs="Arial"/>
          <w:color w:val="000000" w:themeColor="text1"/>
          <w:sz w:val="18"/>
          <w:szCs w:val="18"/>
        </w:rPr>
        <w:t xml:space="preserve">Oh EJ, Oh SH, Lee IS, Kwon OS, Lee JH. Antibiotic-eluting hydrophilized PMMA bone cement with prolonged bactericidal effect for the treatment of osteomyelitis. </w:t>
      </w:r>
      <w:hyperlink r:id="rId15" w:tooltip="Journal of biomaterials applications." w:history="1">
        <w:r w:rsidRPr="00AC53EE">
          <w:rPr>
            <w:rStyle w:val="Hyperlink"/>
            <w:rFonts w:ascii="Tw Cen MT" w:hAnsi="Tw Cen MT" w:cs="Arial"/>
            <w:color w:val="000000" w:themeColor="text1"/>
            <w:sz w:val="18"/>
            <w:szCs w:val="18"/>
            <w:u w:val="none"/>
          </w:rPr>
          <w:t>J Biomater Appl.</w:t>
        </w:r>
      </w:hyperlink>
      <w:r w:rsidRPr="00AC53EE">
        <w:rPr>
          <w:rFonts w:ascii="Tw Cen MT" w:hAnsi="Tw Cen MT" w:cs="Arial"/>
          <w:color w:val="000000" w:themeColor="text1"/>
          <w:sz w:val="18"/>
          <w:szCs w:val="18"/>
        </w:rPr>
        <w:t xml:space="preserve"> 2016;30(10):1534-44.</w:t>
      </w:r>
    </w:p>
    <w:p w:rsidR="00AE3E37" w:rsidRPr="008756E6" w:rsidRDefault="00AE3E37" w:rsidP="009B51D0">
      <w:pPr>
        <w:tabs>
          <w:tab w:val="left" w:pos="384"/>
        </w:tabs>
        <w:ind w:left="284" w:right="117" w:hanging="284"/>
      </w:pPr>
    </w:p>
    <w:p w:rsidR="00AE3E37" w:rsidRDefault="008756E6">
      <w:pPr>
        <w:spacing w:line="200" w:lineRule="exact"/>
        <w:jc w:val="both"/>
        <w:rPr>
          <w:rFonts w:ascii="Calibri" w:hAnsi="Calibri"/>
        </w:rPr>
      </w:pPr>
      <w:r>
        <w:rPr>
          <w:rFonts w:ascii="Calibri" w:hAnsi="Calibri"/>
        </w:rPr>
        <w:t xml:space="preserve">   </w:t>
      </w:r>
    </w:p>
    <w:p w:rsidR="00AC53EE" w:rsidRDefault="00AC53EE">
      <w:pPr>
        <w:spacing w:line="200" w:lineRule="exact"/>
        <w:jc w:val="both"/>
        <w:rPr>
          <w:rFonts w:ascii="Calibri" w:hAnsi="Calibri"/>
        </w:rPr>
      </w:pPr>
    </w:p>
    <w:p w:rsidR="00AC53EE" w:rsidRDefault="00AC53EE">
      <w:pPr>
        <w:spacing w:line="200" w:lineRule="exact"/>
        <w:jc w:val="both"/>
        <w:rPr>
          <w:rFonts w:ascii="Calibri" w:hAnsi="Calibri"/>
        </w:rPr>
      </w:pPr>
    </w:p>
    <w:p w:rsidR="00AC53EE" w:rsidRDefault="00AC53EE">
      <w:pPr>
        <w:spacing w:line="200" w:lineRule="exact"/>
        <w:jc w:val="both"/>
        <w:rPr>
          <w:rFonts w:ascii="Calibri" w:hAnsi="Calibri"/>
        </w:rPr>
      </w:pPr>
    </w:p>
    <w:p w:rsidR="00AC53EE" w:rsidRDefault="00AC53EE">
      <w:pPr>
        <w:spacing w:line="200" w:lineRule="exact"/>
        <w:jc w:val="both"/>
        <w:rPr>
          <w:rFonts w:ascii="Calibri" w:hAnsi="Calibri"/>
        </w:rPr>
        <w:sectPr w:rsidR="00AC53EE">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643DEE">
      <w:pPr>
        <w:pStyle w:val="BodyText"/>
        <w:spacing w:line="40" w:lineRule="exact"/>
        <w:ind w:left="2202"/>
        <w:rPr>
          <w:rFonts w:ascii="Calibri"/>
          <w:sz w:val="4"/>
        </w:rPr>
      </w:pPr>
      <w:r w:rsidRPr="00643DEE">
        <w:rPr>
          <w:rFonts w:ascii="Calibri"/>
          <w:noProof/>
          <w:sz w:val="4"/>
          <w:lang w:val="en-IN" w:eastAsia="en-IN"/>
        </w:rPr>
      </w:r>
      <w:r w:rsidRPr="00643DE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252838">
        <w:rPr>
          <w:noProof/>
          <w:lang w:val="id-ID" w:eastAsia="id-ID"/>
        </w:rPr>
        <w:drawing>
          <wp:inline distT="0" distB="0" distL="0" distR="0">
            <wp:extent cx="485698" cy="618530"/>
            <wp:effectExtent l="19050" t="0" r="0" b="0"/>
            <wp:docPr id="2" name="Picture 2" descr="C:\Users\Administrator\Documents\Kaharu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cuments\Kaharudin.jpg"/>
                    <pic:cNvPicPr>
                      <a:picLocks noChangeAspect="1" noChangeArrowheads="1"/>
                    </pic:cNvPicPr>
                  </pic:nvPicPr>
                  <pic:blipFill>
                    <a:blip r:embed="rId16" cstate="print"/>
                    <a:srcRect/>
                    <a:stretch>
                      <a:fillRect/>
                    </a:stretch>
                  </pic:blipFill>
                  <pic:spPr bwMode="auto">
                    <a:xfrm>
                      <a:off x="0" y="0"/>
                      <a:ext cx="488259" cy="621792"/>
                    </a:xfrm>
                    <a:prstGeom prst="rect">
                      <a:avLst/>
                    </a:prstGeom>
                    <a:noFill/>
                    <a:ln w="9525">
                      <a:noFill/>
                      <a:miter lim="800000"/>
                      <a:headEnd/>
                      <a:tailEnd/>
                    </a:ln>
                  </pic:spPr>
                </pic:pic>
              </a:graphicData>
            </a:graphic>
          </wp:inline>
        </w:drawing>
      </w:r>
      <w:r w:rsidR="00252838">
        <w:rPr>
          <w:noProof/>
          <w:lang w:eastAsia="id-ID"/>
        </w:rPr>
        <w:t xml:space="preserve"> </w:t>
      </w:r>
      <w:r w:rsidR="00A9710C">
        <w:rPr>
          <w:rFonts w:ascii="Arial"/>
          <w:color w:val="BF5A14"/>
        </w:rPr>
        <w:t>Biography</w:t>
      </w:r>
      <w:r w:rsidR="00404E5B">
        <w:rPr>
          <w:rFonts w:ascii="Arial"/>
          <w:color w:val="BF5A14"/>
        </w:rPr>
        <w:t xml:space="preserve"> </w:t>
      </w:r>
    </w:p>
    <w:p w:rsidR="00AE3E37" w:rsidRDefault="00C76A29">
      <w:pPr>
        <w:spacing w:before="41" w:line="154" w:lineRule="exact"/>
        <w:ind w:left="213" w:right="231"/>
        <w:jc w:val="both"/>
        <w:rPr>
          <w:rFonts w:ascii="Arial"/>
          <w:sz w:val="14"/>
        </w:rPr>
      </w:pPr>
      <w:r>
        <w:rPr>
          <w:rFonts w:ascii="Arial"/>
          <w:sz w:val="14"/>
        </w:rPr>
        <w:t xml:space="preserve">Kaharudin is a medical student in Faculty of Medicine Andalas University, Indonesia.  </w:t>
      </w:r>
      <w:r w:rsidR="0078738A">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7" w:history="1">
        <w:r w:rsidR="00252838" w:rsidRPr="00F361B4">
          <w:rPr>
            <w:rStyle w:val="Hyperlink"/>
            <w:rFonts w:ascii="Arial"/>
            <w:sz w:val="14"/>
          </w:rPr>
          <w:t>kahar.udinx@gmail.com</w:t>
        </w:r>
      </w:hyperlink>
    </w:p>
    <w:p w:rsidR="00AE3E37" w:rsidRDefault="00643DEE">
      <w:pPr>
        <w:pStyle w:val="BodyText"/>
        <w:spacing w:before="2"/>
        <w:rPr>
          <w:rFonts w:ascii="Arial"/>
          <w:sz w:val="19"/>
        </w:rPr>
      </w:pPr>
      <w:bookmarkStart w:id="0" w:name="_GoBack"/>
      <w:bookmarkEnd w:id="0"/>
      <w:r w:rsidRPr="00643DEE">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36A" w:rsidRDefault="00F8136A">
      <w:r>
        <w:separator/>
      </w:r>
    </w:p>
  </w:endnote>
  <w:endnote w:type="continuationSeparator" w:id="1">
    <w:p w:rsidR="00F8136A" w:rsidRDefault="00F813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3DEE">
    <w:pPr>
      <w:pStyle w:val="BodyText"/>
      <w:spacing w:line="14" w:lineRule="auto"/>
      <w:rPr>
        <w:sz w:val="20"/>
      </w:rPr>
    </w:pPr>
    <w:r w:rsidRPr="00643DE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43DEE">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43DEE">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36A" w:rsidRDefault="00F8136A">
      <w:r>
        <w:separator/>
      </w:r>
    </w:p>
  </w:footnote>
  <w:footnote w:type="continuationSeparator" w:id="1">
    <w:p w:rsidR="00F8136A" w:rsidRDefault="00F813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3DEE">
    <w:pPr>
      <w:pStyle w:val="BodyText"/>
      <w:spacing w:line="14" w:lineRule="auto"/>
      <w:rPr>
        <w:sz w:val="20"/>
      </w:rPr>
    </w:pPr>
    <w:r w:rsidRPr="00643DE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43DEE">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31EEF"/>
    <w:multiLevelType w:val="hybridMultilevel"/>
    <w:tmpl w:val="8C586C92"/>
    <w:lvl w:ilvl="0" w:tplc="76CAA7D6">
      <w:start w:val="1"/>
      <w:numFmt w:val="decimal"/>
      <w:lvlText w:val="%1."/>
      <w:lvlJc w:val="left"/>
      <w:pPr>
        <w:ind w:left="360" w:hanging="360"/>
      </w:pPr>
      <w:rPr>
        <w:i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852" w:hanging="284"/>
      </w:pPr>
      <w:rPr>
        <w:rFonts w:ascii="Calibri" w:eastAsia="Calibri" w:hAnsi="Calibri" w:cs="Calibri" w:hint="default"/>
        <w:spacing w:val="-16"/>
        <w:w w:val="100"/>
        <w:sz w:val="18"/>
        <w:szCs w:val="18"/>
      </w:rPr>
    </w:lvl>
    <w:lvl w:ilvl="1" w:tplc="C60E89D2">
      <w:start w:val="1"/>
      <w:numFmt w:val="bullet"/>
      <w:lvlText w:val="•"/>
      <w:lvlJc w:val="left"/>
      <w:pPr>
        <w:ind w:left="1346" w:hanging="284"/>
      </w:pPr>
      <w:rPr>
        <w:rFonts w:hint="default"/>
      </w:rPr>
    </w:lvl>
    <w:lvl w:ilvl="2" w:tplc="9E4C3810">
      <w:start w:val="1"/>
      <w:numFmt w:val="bullet"/>
      <w:lvlText w:val="•"/>
      <w:lvlJc w:val="left"/>
      <w:pPr>
        <w:ind w:left="1843" w:hanging="284"/>
      </w:pPr>
      <w:rPr>
        <w:rFonts w:hint="default"/>
      </w:rPr>
    </w:lvl>
    <w:lvl w:ilvl="3" w:tplc="27FEBB2C">
      <w:start w:val="1"/>
      <w:numFmt w:val="bullet"/>
      <w:lvlText w:val="•"/>
      <w:lvlJc w:val="left"/>
      <w:pPr>
        <w:ind w:left="2340" w:hanging="284"/>
      </w:pPr>
      <w:rPr>
        <w:rFonts w:hint="default"/>
      </w:rPr>
    </w:lvl>
    <w:lvl w:ilvl="4" w:tplc="40E042A8">
      <w:start w:val="1"/>
      <w:numFmt w:val="bullet"/>
      <w:lvlText w:val="•"/>
      <w:lvlJc w:val="left"/>
      <w:pPr>
        <w:ind w:left="2838" w:hanging="284"/>
      </w:pPr>
      <w:rPr>
        <w:rFonts w:hint="default"/>
      </w:rPr>
    </w:lvl>
    <w:lvl w:ilvl="5" w:tplc="80EC61F2">
      <w:start w:val="1"/>
      <w:numFmt w:val="bullet"/>
      <w:lvlText w:val="•"/>
      <w:lvlJc w:val="left"/>
      <w:pPr>
        <w:ind w:left="3335" w:hanging="284"/>
      </w:pPr>
      <w:rPr>
        <w:rFonts w:hint="default"/>
      </w:rPr>
    </w:lvl>
    <w:lvl w:ilvl="6" w:tplc="F60232E2">
      <w:start w:val="1"/>
      <w:numFmt w:val="bullet"/>
      <w:lvlText w:val="•"/>
      <w:lvlJc w:val="left"/>
      <w:pPr>
        <w:ind w:left="3832" w:hanging="284"/>
      </w:pPr>
      <w:rPr>
        <w:rFonts w:hint="default"/>
      </w:rPr>
    </w:lvl>
    <w:lvl w:ilvl="7" w:tplc="69AE9EC2">
      <w:start w:val="1"/>
      <w:numFmt w:val="bullet"/>
      <w:lvlText w:val="•"/>
      <w:lvlJc w:val="left"/>
      <w:pPr>
        <w:ind w:left="4329" w:hanging="284"/>
      </w:pPr>
      <w:rPr>
        <w:rFonts w:hint="default"/>
      </w:rPr>
    </w:lvl>
    <w:lvl w:ilvl="8" w:tplc="16D69236">
      <w:start w:val="1"/>
      <w:numFmt w:val="bullet"/>
      <w:lvlText w:val="•"/>
      <w:lvlJc w:val="left"/>
      <w:pPr>
        <w:ind w:left="4827"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36713"/>
    <w:rsid w:val="001E763C"/>
    <w:rsid w:val="002155C9"/>
    <w:rsid w:val="0023748B"/>
    <w:rsid w:val="00247860"/>
    <w:rsid w:val="00252838"/>
    <w:rsid w:val="00292ED9"/>
    <w:rsid w:val="00314AFB"/>
    <w:rsid w:val="003B76D9"/>
    <w:rsid w:val="00404E5B"/>
    <w:rsid w:val="00414F7B"/>
    <w:rsid w:val="004355DC"/>
    <w:rsid w:val="004749B4"/>
    <w:rsid w:val="00494130"/>
    <w:rsid w:val="004F3523"/>
    <w:rsid w:val="005973B9"/>
    <w:rsid w:val="005B3A56"/>
    <w:rsid w:val="005F0746"/>
    <w:rsid w:val="006060CE"/>
    <w:rsid w:val="0063497F"/>
    <w:rsid w:val="00643DEE"/>
    <w:rsid w:val="006948D4"/>
    <w:rsid w:val="006F7C5C"/>
    <w:rsid w:val="007441B8"/>
    <w:rsid w:val="0078738A"/>
    <w:rsid w:val="00824DA0"/>
    <w:rsid w:val="00855DE1"/>
    <w:rsid w:val="00873DF0"/>
    <w:rsid w:val="008756E6"/>
    <w:rsid w:val="00900582"/>
    <w:rsid w:val="009B2D44"/>
    <w:rsid w:val="009B51D0"/>
    <w:rsid w:val="00A07E82"/>
    <w:rsid w:val="00A9710C"/>
    <w:rsid w:val="00A975DE"/>
    <w:rsid w:val="00AC53EE"/>
    <w:rsid w:val="00AE3E37"/>
    <w:rsid w:val="00B21A57"/>
    <w:rsid w:val="00BD7079"/>
    <w:rsid w:val="00BF2268"/>
    <w:rsid w:val="00C33602"/>
    <w:rsid w:val="00C76A29"/>
    <w:rsid w:val="00CD6F55"/>
    <w:rsid w:val="00D62425"/>
    <w:rsid w:val="00DE3104"/>
    <w:rsid w:val="00DE6ABE"/>
    <w:rsid w:val="00E12197"/>
    <w:rsid w:val="00F72EEA"/>
    <w:rsid w:val="00F77339"/>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9B51D0"/>
    <w:rPr>
      <w:i/>
      <w:iCs/>
    </w:rPr>
  </w:style>
  <w:style w:type="character" w:customStyle="1" w:styleId="ListParagraphChar">
    <w:name w:val="List Paragraph Char"/>
    <w:link w:val="ListParagraph"/>
    <w:uiPriority w:val="34"/>
    <w:qFormat/>
    <w:rsid w:val="009B51D0"/>
    <w:rPr>
      <w:rFonts w:ascii="Calibri" w:eastAsia="Calibri" w:hAnsi="Calibri" w:cs="Calibri"/>
    </w:rPr>
  </w:style>
  <w:style w:type="character" w:customStyle="1" w:styleId="fontstyle01">
    <w:name w:val="fontstyle01"/>
    <w:basedOn w:val="DefaultParagraphFont"/>
    <w:rsid w:val="009B51D0"/>
    <w:rPr>
      <w:rFonts w:ascii="Arial" w:hAnsi="Arial" w:cs="Arial" w:hint="default"/>
      <w:b w:val="0"/>
      <w:bCs w:val="0"/>
      <w:i w:val="0"/>
      <w:iCs w:val="0"/>
      <w:color w:val="000000"/>
      <w:sz w:val="18"/>
      <w:szCs w:val="18"/>
    </w:rPr>
  </w:style>
  <w:style w:type="character" w:customStyle="1" w:styleId="cit">
    <w:name w:val="cit"/>
    <w:basedOn w:val="DefaultParagraphFont"/>
    <w:rsid w:val="009B51D0"/>
  </w:style>
  <w:style w:type="character" w:customStyle="1" w:styleId="st">
    <w:name w:val="st"/>
    <w:basedOn w:val="DefaultParagraphFont"/>
    <w:rsid w:val="009B51D0"/>
  </w:style>
  <w:style w:type="character" w:customStyle="1" w:styleId="highlight">
    <w:name w:val="highlight"/>
    <w:basedOn w:val="DefaultParagraphFont"/>
    <w:rsid w:val="009B5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Ueng%20SW%5BAuthor%5D&amp;cauthor=true&amp;cauthor_uid=2412866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term=Hsieh%20PH%5BAuthor%5D&amp;cauthor=true&amp;cauthor_uid=24128666" TargetMode="External"/><Relationship Id="rId17" Type="http://schemas.openxmlformats.org/officeDocument/2006/relationships/hyperlink" Target="mailto:kahar.udinx@gmail.com" TargetMode="External"/><Relationship Id="rId2" Type="http://schemas.openxmlformats.org/officeDocument/2006/relationships/styles" Target="styles.xml"/><Relationship Id="rId16" Type="http://schemas.openxmlformats.org/officeDocument/2006/relationships/image" Target="media/image1.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Tai%20CL%5BAuthor%5D&amp;cauthor=true&amp;cauthor_uid=24128666" TargetMode="External"/><Relationship Id="rId5" Type="http://schemas.openxmlformats.org/officeDocument/2006/relationships/footnotes" Target="footnotes.xml"/><Relationship Id="rId15" Type="http://schemas.openxmlformats.org/officeDocument/2006/relationships/hyperlink" Target="https://www.ncbi.nlm.nih.gov/pubmed/26847915" TargetMode="External"/><Relationship Id="rId10" Type="http://schemas.openxmlformats.org/officeDocument/2006/relationships/hyperlink" Target="https://www.ncbi.nlm.nih.gov/pubmed/?term=Chang%20Y%5BAuthor%5D&amp;cauthor=true&amp;cauthor_uid=2412866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cbi.nlm.nih.gov/pubmed/28291433" TargetMode="External"/><Relationship Id="rId14" Type="http://schemas.openxmlformats.org/officeDocument/2006/relationships/hyperlink" Target="https://www.ncbi.nlm.nih.gov/pubmed/24128666"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OneStop Computer</cp:lastModifiedBy>
  <cp:revision>5</cp:revision>
  <dcterms:created xsi:type="dcterms:W3CDTF">2016-08-31T13:10:00Z</dcterms:created>
  <dcterms:modified xsi:type="dcterms:W3CDTF">2019-05-01T15:49:00Z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