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Minion Pro" w:hAnsi="Minion Pro" w:cs="Minion Pro"/>
          <w:b/>
          <w:bCs/>
          <w:color w:val="4472C4" w:themeColor="accent5"/>
          <w:sz w:val="21"/>
          <w:szCs w:val="21"/>
          <w14:textFill>
            <w14:solidFill>
              <w14:schemeClr w14:val="accent5"/>
            </w14:solidFill>
          </w14:textFill>
        </w:rPr>
      </w:pPr>
      <w:r>
        <w:rPr>
          <w:rFonts w:hint="default" w:ascii="Minion Pro" w:hAnsi="Minion Pro" w:cs="Minion Pro"/>
          <w:b/>
          <w:bCs/>
          <w:color w:val="4472C4" w:themeColor="accent5"/>
          <w:sz w:val="36"/>
          <w:szCs w:val="36"/>
          <w14:textFill>
            <w14:solidFill>
              <w14:schemeClr w14:val="accent5"/>
            </w14:solidFill>
          </w14:textFill>
        </w:rPr>
        <w:t xml:space="preserve">Clinical evaluation of sanitary pads containing antimicrobial ingredients </w:t>
      </w:r>
    </w:p>
    <w:p>
      <w:pPr>
        <w:rPr>
          <w:rFonts w:hint="default" w:ascii="Arial" w:hAnsi="Arial" w:cs="Arial"/>
          <w:b/>
          <w:bCs/>
          <w:sz w:val="18"/>
          <w:szCs w:val="18"/>
        </w:rPr>
      </w:pPr>
      <w:r>
        <w:rPr>
          <w:rFonts w:hint="default" w:ascii="Arial" w:hAnsi="Arial" w:cs="Arial"/>
          <w:b/>
          <w:bCs/>
          <w:sz w:val="18"/>
          <w:szCs w:val="18"/>
          <w:lang w:val="en-US"/>
        </w:rPr>
        <w:t>Hamid Nazifi</w:t>
      </w:r>
      <w:r>
        <w:rPr>
          <w:rFonts w:hint="default" w:ascii="Arial" w:hAnsi="Arial" w:eastAsia="+Body" w:cs="Arial"/>
          <w:b w:val="0"/>
          <w:bCs w:val="0"/>
          <w:i/>
          <w:iCs/>
          <w:sz w:val="18"/>
          <w:szCs w:val="18"/>
          <w:vertAlign w:val="superscript"/>
          <w:lang w:val="en-US"/>
        </w:rPr>
        <w:t>1,</w:t>
      </w:r>
      <w:r>
        <w:rPr>
          <w:rFonts w:hint="default" w:ascii="Arial" w:hAnsi="Arial" w:eastAsia="+Body" w:cs="Arial"/>
          <w:b/>
          <w:bCs/>
          <w:i w:val="0"/>
          <w:iCs w:val="0"/>
          <w:sz w:val="18"/>
          <w:szCs w:val="18"/>
          <w:vertAlign w:val="superscript"/>
          <w:lang w:val="en-US"/>
        </w:rPr>
        <w:t>*</w:t>
      </w:r>
      <w:r>
        <w:rPr>
          <w:rFonts w:hint="default" w:ascii="Arial" w:hAnsi="Arial" w:cs="Arial"/>
          <w:b/>
          <w:bCs/>
          <w:sz w:val="18"/>
          <w:szCs w:val="18"/>
          <w:lang w:val="en-US"/>
        </w:rPr>
        <w:t xml:space="preserve"> , </w:t>
      </w:r>
      <w:r>
        <w:rPr>
          <w:rFonts w:hint="default" w:ascii="Arial" w:hAnsi="Arial" w:cs="Arial"/>
          <w:b/>
          <w:bCs/>
          <w:sz w:val="18"/>
          <w:szCs w:val="18"/>
        </w:rPr>
        <w:t>Saman Ahmad Nasrollahi</w:t>
      </w:r>
      <w:r>
        <w:rPr>
          <w:rFonts w:hint="default" w:ascii="Arial" w:hAnsi="Arial" w:eastAsia="+Body" w:cs="Arial"/>
          <w:b w:val="0"/>
          <w:bCs w:val="0"/>
          <w:i/>
          <w:iCs/>
          <w:sz w:val="18"/>
          <w:szCs w:val="18"/>
          <w:vertAlign w:val="superscript"/>
          <w:lang w:val="en-US"/>
        </w:rPr>
        <w:t>1</w:t>
      </w:r>
      <w:r>
        <w:rPr>
          <w:rFonts w:hint="default" w:ascii="Arial" w:hAnsi="Arial" w:cs="Arial"/>
          <w:b/>
          <w:bCs/>
          <w:sz w:val="18"/>
          <w:szCs w:val="18"/>
        </w:rPr>
        <w:t>, Aniseh Samadi</w:t>
      </w:r>
      <w:r>
        <w:rPr>
          <w:rFonts w:hint="default" w:ascii="Arial" w:hAnsi="Arial" w:eastAsia="+Body" w:cs="Arial"/>
          <w:b w:val="0"/>
          <w:bCs w:val="0"/>
          <w:i/>
          <w:iCs/>
          <w:sz w:val="18"/>
          <w:szCs w:val="18"/>
          <w:vertAlign w:val="superscript"/>
          <w:lang w:val="en-US"/>
        </w:rPr>
        <w:t>1</w:t>
      </w:r>
      <w:r>
        <w:rPr>
          <w:rFonts w:hint="default" w:ascii="Arial" w:hAnsi="Arial" w:cs="Arial"/>
          <w:b/>
          <w:bCs/>
          <w:sz w:val="18"/>
          <w:szCs w:val="18"/>
        </w:rPr>
        <w:t>, Alireza Firooz</w:t>
      </w:r>
      <w:r>
        <w:rPr>
          <w:rFonts w:hint="default" w:ascii="Arial" w:hAnsi="Arial" w:eastAsia="+Body" w:cs="Arial"/>
          <w:b w:val="0"/>
          <w:bCs w:val="0"/>
          <w:i/>
          <w:iCs/>
          <w:sz w:val="18"/>
          <w:szCs w:val="18"/>
          <w:vertAlign w:val="superscript"/>
          <w:lang w:val="en-US"/>
        </w:rPr>
        <w:t>1</w:t>
      </w:r>
    </w:p>
    <w:p>
      <w:pPr>
        <w:rPr>
          <w:rFonts w:hint="default" w:ascii="Arial" w:hAnsi="Arial" w:eastAsia="Times New Roman" w:cs="Arial"/>
          <w:b w:val="0"/>
          <w:bCs w:val="0"/>
          <w:i/>
          <w:iCs w:val="0"/>
          <w:sz w:val="16"/>
          <w:szCs w:val="16"/>
        </w:rPr>
      </w:pPr>
      <w:r>
        <w:rPr>
          <w:rFonts w:hint="default" w:ascii="Arial" w:hAnsi="Arial" w:eastAsia="+Body" w:cs="Arial"/>
          <w:b w:val="0"/>
          <w:bCs w:val="0"/>
          <w:i/>
          <w:iCs/>
          <w:sz w:val="16"/>
          <w:szCs w:val="16"/>
          <w:vertAlign w:val="superscript"/>
          <w:lang w:val="en-US"/>
        </w:rPr>
        <w:t>1</w:t>
      </w:r>
      <w:r>
        <w:rPr>
          <w:rFonts w:hint="default" w:ascii="Arial" w:hAnsi="Arial" w:eastAsia="Times New Roman" w:cs="Arial"/>
          <w:b w:val="0"/>
          <w:bCs w:val="0"/>
          <w:i/>
          <w:iCs w:val="0"/>
          <w:sz w:val="16"/>
          <w:szCs w:val="16"/>
        </w:rPr>
        <w:t>Center for Research &amp; Training in Skin Diseases &amp; Leprosy, Tehran University of Medical Sciences, Tehran, Iran</w:t>
      </w:r>
    </w:p>
    <w:p>
      <w:pPr>
        <w:rPr>
          <w:rFonts w:hint="default" w:ascii="Arial" w:hAnsi="Arial" w:eastAsia="Times New Roman" w:cs="Arial"/>
          <w:b w:val="0"/>
          <w:bCs w:val="0"/>
          <w:i/>
          <w:iCs w:val="0"/>
          <w:sz w:val="16"/>
          <w:szCs w:val="16"/>
          <w:lang w:val="en-US"/>
        </w:rPr>
      </w:pPr>
      <w:r>
        <w:rPr>
          <w:rFonts w:hint="default" w:ascii="Arial" w:hAnsi="Arial" w:eastAsia="+Body" w:cs="Arial"/>
          <w:b/>
          <w:bCs/>
          <w:i w:val="0"/>
          <w:iCs w:val="0"/>
          <w:sz w:val="16"/>
          <w:szCs w:val="16"/>
          <w:vertAlign w:val="superscript"/>
          <w:lang w:val="en-US"/>
        </w:rPr>
        <w:t>*</w:t>
      </w:r>
      <w:r>
        <w:rPr>
          <w:rFonts w:hint="default" w:ascii="Arial" w:hAnsi="Arial" w:eastAsia="Times New Roman" w:cs="Arial"/>
          <w:b w:val="0"/>
          <w:bCs w:val="0"/>
          <w:i/>
          <w:iCs w:val="0"/>
          <w:sz w:val="16"/>
          <w:szCs w:val="16"/>
        </w:rPr>
        <w:t>Address correspondence to this author at the Center for Research &amp; Training in Skin Diseases &amp; Leprosy, Tehran University of Medical Sciences, Tehran, Iran; #415 Taleqani Ave, Tehran, Iran; Tel</w:t>
      </w:r>
      <w:r>
        <w:rPr>
          <w:rFonts w:hint="default" w:ascii="Arial" w:hAnsi="Arial" w:eastAsia="Times New Roman" w:cs="Arial"/>
          <w:b w:val="0"/>
          <w:bCs w:val="0"/>
          <w:i/>
          <w:iCs w:val="0"/>
          <w:sz w:val="16"/>
          <w:szCs w:val="16"/>
          <w:lang w:val="en-US"/>
        </w:rPr>
        <w:t xml:space="preserve"> &amp; Fax</w:t>
      </w:r>
      <w:r>
        <w:rPr>
          <w:rFonts w:hint="default" w:ascii="Arial" w:hAnsi="Arial" w:eastAsia="Times New Roman" w:cs="Arial"/>
          <w:b w:val="0"/>
          <w:bCs w:val="0"/>
          <w:i/>
          <w:iCs w:val="0"/>
          <w:sz w:val="16"/>
          <w:szCs w:val="16"/>
        </w:rPr>
        <w:t>: (+9821) 88963804; E-mail:</w:t>
      </w:r>
      <w:r>
        <w:rPr>
          <w:rFonts w:hint="default" w:ascii="Arial" w:hAnsi="Arial" w:eastAsia="Times New Roman" w:cs="Arial"/>
          <w:b w:val="0"/>
          <w:bCs w:val="0"/>
          <w:i/>
          <w:iCs w:val="0"/>
          <w:sz w:val="16"/>
          <w:szCs w:val="16"/>
          <w:lang w:val="en-US"/>
        </w:rPr>
        <w:t xml:space="preserve"> Hamid.Nazifi@gmail.com</w:t>
      </w:r>
    </w:p>
    <w:p>
      <w:pPr>
        <w:rPr>
          <w:rFonts w:asciiTheme="majorBidi" w:hAnsiTheme="majorBidi" w:cstheme="majorBidi"/>
          <w:sz w:val="24"/>
          <w:szCs w:val="24"/>
        </w:rPr>
      </w:pPr>
    </w:p>
    <w:p>
      <w:pPr>
        <w:rPr>
          <w:rFonts w:asciiTheme="majorBidi" w:hAnsiTheme="majorBidi" w:cstheme="majorBidi"/>
          <w:sz w:val="24"/>
          <w:szCs w:val="24"/>
        </w:rPr>
        <w:sectPr>
          <w:pgSz w:w="12240" w:h="15840"/>
          <w:pgMar w:top="1440" w:right="1440" w:bottom="1440" w:left="1440" w:header="708" w:footer="708" w:gutter="0"/>
          <w:cols w:space="708" w:num="1"/>
          <w:docGrid w:linePitch="360" w:charSpace="0"/>
        </w:sectPr>
      </w:pPr>
    </w:p>
    <w:p>
      <w:pPr>
        <w:rPr>
          <w:rFonts w:hint="default" w:ascii="Arial" w:hAnsi="Arial" w:eastAsia="+Body" w:cs="Arial"/>
          <w:b/>
          <w:bCs/>
          <w:caps/>
          <w:smallCaps w:val="0"/>
          <w:color w:val="C55A11" w:themeColor="accent2" w:themeShade="BF"/>
          <w:sz w:val="24"/>
          <w:szCs w:val="24"/>
          <w:lang w:val="en-US"/>
        </w:rPr>
      </w:pPr>
      <w:r>
        <w:rPr>
          <w:rFonts w:hint="default" w:ascii="Arial" w:hAnsi="Arial" w:eastAsia="+Body" w:cs="Arial"/>
          <w:b/>
          <w:bCs/>
          <w:caps/>
          <w:smallCaps w:val="0"/>
          <w:color w:val="C55A11" w:themeColor="accent2" w:themeShade="BF"/>
          <w:sz w:val="24"/>
          <w:szCs w:val="24"/>
          <w:lang w:val="en-US"/>
        </w:rPr>
        <w:t>Abstract:</w:t>
      </w:r>
    </w:p>
    <w:p>
      <w:pPr>
        <w:jc w:val="both"/>
        <w:rPr>
          <w:rFonts w:hint="default" w:ascii="Tw Cen MT" w:hAnsi="Tw Cen MT" w:cs="Tw Cen MT"/>
          <w:sz w:val="18"/>
          <w:szCs w:val="18"/>
        </w:rPr>
      </w:pPr>
      <w:r>
        <w:rPr>
          <w:rFonts w:hint="default" w:ascii="Tw Cen MT" w:hAnsi="Tw Cen MT" w:cs="Tw Cen MT"/>
          <w:sz w:val="18"/>
          <w:szCs w:val="18"/>
        </w:rPr>
        <w:t>Many women use disposable menstrual pads for feminine hygiene protection. In recent years, lots of innovations were introduced to improve comfort and effective pads. Both antibacterial and antifungal ingredients such as potassium alum and chitosan as long as probiotic pads</w:t>
      </w:r>
      <w:r>
        <w:rPr>
          <w:rFonts w:hint="default" w:ascii="Tw Cen MT" w:hAnsi="Tw Cen MT" w:cs="Tw Cen MT"/>
          <w:b/>
          <w:bCs/>
          <w:sz w:val="18"/>
          <w:szCs w:val="18"/>
        </w:rPr>
        <w:t xml:space="preserve"> </w:t>
      </w:r>
      <w:r>
        <w:rPr>
          <w:rFonts w:hint="default" w:ascii="Tw Cen MT" w:hAnsi="Tw Cen MT" w:cs="Tw Cen MT"/>
          <w:sz w:val="18"/>
          <w:szCs w:val="18"/>
        </w:rPr>
        <w:t>could also prevent the propagation of bacteria and fungi and reduce perspiration and keeping the acidic pH. The safety and efficacy of any new product should be assessed in comparison with currently marketed product. The aim of this study is assessment the cutaneous effects and suitability of an antimicrobial sanitary pads in Iranian women.</w:t>
      </w:r>
    </w:p>
    <w:p>
      <w:pPr>
        <w:spacing w:line="240" w:lineRule="auto"/>
        <w:jc w:val="both"/>
        <w:rPr>
          <w:rFonts w:hint="default" w:ascii="Tw Cen MT" w:hAnsi="Tw Cen MT" w:cs="Tw Cen MT"/>
          <w:sz w:val="18"/>
          <w:szCs w:val="18"/>
        </w:rPr>
      </w:pPr>
      <w:r>
        <w:rPr>
          <w:rFonts w:hint="default" w:ascii="Tw Cen MT" w:hAnsi="Tw Cen MT" w:cs="Tw Cen MT"/>
          <w:sz w:val="18"/>
          <w:szCs w:val="18"/>
        </w:rPr>
        <w:t>This was a phase III cross-over study design, conducted on 36 healthy women over the course of two menstrual periods. The levels of erythema, fissuring,</w:t>
      </w:r>
      <w:r>
        <w:rPr>
          <w:rFonts w:hint="default" w:ascii="Tw Cen MT" w:hAnsi="Tw Cen MT" w:eastAsia="Calibri" w:cs="Tw Cen MT"/>
          <w:sz w:val="18"/>
          <w:szCs w:val="18"/>
        </w:rPr>
        <w:t xml:space="preserve"> </w:t>
      </w:r>
      <w:r>
        <w:rPr>
          <w:rFonts w:hint="default" w:ascii="Tw Cen MT" w:hAnsi="Tw Cen MT" w:cs="Tw Cen MT"/>
          <w:sz w:val="18"/>
          <w:szCs w:val="18"/>
        </w:rPr>
        <w:t>edema and papule formation as well as burning, and itching sensations have been evaluated based on clinical observations and interviews. Measurement of pH and swabs for bacteria counting of vulvar skin were also performed. The subjects used one type of sanitary pad during their first menstrual period and then used the other type during their subsequent menstrual period. Then the evaluations repeated and the subjects were asked to complete self-assessment questionnaires about product suitability.</w:t>
      </w:r>
    </w:p>
    <w:p>
      <w:pPr>
        <w:spacing w:line="240" w:lineRule="auto"/>
        <w:jc w:val="both"/>
        <w:rPr>
          <w:rFonts w:hint="default" w:ascii="Tw Cen MT" w:hAnsi="Tw Cen MT" w:cs="Tw Cen MT"/>
          <w:sz w:val="18"/>
          <w:szCs w:val="18"/>
        </w:rPr>
      </w:pPr>
      <w:r>
        <w:rPr>
          <w:rFonts w:hint="default" w:ascii="Tw Cen MT" w:hAnsi="Tw Cen MT" w:cs="Tw Cen MT"/>
          <w:sz w:val="18"/>
          <w:szCs w:val="18"/>
        </w:rPr>
        <w:t xml:space="preserve">All the volunteers (age: 18–50, mean: 37.43) completed the study. No signs of irritation were found in the clinical observations or in the interviews for either product. A significant difference from baseline was found in the number of </w:t>
      </w:r>
      <w:r>
        <w:rPr>
          <w:rFonts w:hint="default" w:ascii="Tw Cen MT" w:hAnsi="Tw Cen MT" w:cs="Tw Cen MT"/>
          <w:sz w:val="18"/>
          <w:szCs w:val="18"/>
          <w:lang w:val="en-US"/>
        </w:rPr>
        <w:t xml:space="preserve"> </w:t>
      </w:r>
      <w:r>
        <w:rPr>
          <w:rFonts w:hint="default" w:ascii="Tw Cen MT" w:hAnsi="Tw Cen MT" w:cs="Tw Cen MT"/>
          <w:sz w:val="18"/>
          <w:szCs w:val="18"/>
        </w:rPr>
        <w:t>total bacteria for antimicrobial pads (p-value=0.016) and the vulvar areas were significantly more acidic after using antimicrobial produ</w:t>
      </w:r>
      <w:bookmarkStart w:id="0" w:name="_GoBack"/>
      <w:bookmarkEnd w:id="0"/>
      <w:r>
        <w:rPr>
          <w:rFonts w:hint="default" w:ascii="Tw Cen MT" w:hAnsi="Tw Cen MT" w:cs="Tw Cen MT"/>
          <w:sz w:val="18"/>
          <w:szCs w:val="18"/>
        </w:rPr>
        <w:t>ct. The majority of subjects preferred the sanitary pad with antimicrobial actives (p-value=0.0416).</w:t>
      </w:r>
    </w:p>
    <w:p>
      <w:pPr>
        <w:spacing w:line="240" w:lineRule="auto"/>
        <w:jc w:val="both"/>
        <w:rPr>
          <w:rFonts w:hint="default" w:ascii="Tw Cen MT" w:hAnsi="Tw Cen MT" w:cs="Tw Cen MT"/>
          <w:b/>
          <w:bCs/>
          <w:color w:val="000000" w:themeColor="text1"/>
          <w:sz w:val="18"/>
          <w:szCs w:val="18"/>
          <w14:textFill>
            <w14:solidFill>
              <w14:schemeClr w14:val="tx1"/>
            </w14:solidFill>
          </w14:textFill>
        </w:rPr>
      </w:pPr>
      <w:r>
        <w:rPr>
          <w:rFonts w:hint="default" w:ascii="Tw Cen MT" w:hAnsi="Tw Cen MT" w:cs="Tw Cen MT"/>
          <w:color w:val="000000" w:themeColor="text1"/>
          <w:sz w:val="18"/>
          <w:szCs w:val="18"/>
          <w14:textFill>
            <w14:solidFill>
              <w14:schemeClr w14:val="tx1"/>
            </w14:solidFill>
          </w14:textFill>
        </w:rPr>
        <w:t>Antimicrobial Sanitary pads used in this study was preferred for greater suitability and efficacy. There are no adverse effects for all products.</w:t>
      </w:r>
      <w:r>
        <w:rPr>
          <w:rFonts w:hint="default" w:ascii="Tw Cen MT" w:hAnsi="Tw Cen MT" w:cs="Tw Cen MT"/>
          <w:b/>
          <w:bCs/>
          <w:color w:val="000000" w:themeColor="text1"/>
          <w:sz w:val="18"/>
          <w:szCs w:val="18"/>
          <w14:textFill>
            <w14:solidFill>
              <w14:schemeClr w14:val="tx1"/>
            </w14:solidFill>
          </w14:textFill>
        </w:rPr>
        <w:t xml:space="preserve"> </w:t>
      </w:r>
    </w:p>
    <w:p>
      <w:pPr>
        <w:rPr>
          <w:rFonts w:asciiTheme="majorBidi" w:hAnsiTheme="majorBidi" w:cstheme="majorBidi"/>
          <w:sz w:val="24"/>
          <w:szCs w:val="24"/>
        </w:rPr>
      </w:pPr>
    </w:p>
    <w:p>
      <w:pPr>
        <w:rPr>
          <w:rFonts w:asciiTheme="majorBidi" w:hAnsiTheme="majorBidi" w:cstheme="majorBidi"/>
          <w:sz w:val="20"/>
          <w:szCs w:val="20"/>
        </w:rPr>
      </w:pPr>
      <w:r>
        <w:rPr>
          <w:rFonts w:hint="default" w:ascii="Arial" w:hAnsi="Arial" w:cs="Arial"/>
          <w:b/>
          <w:bCs/>
          <w:color w:val="C55A11" w:themeColor="accent2" w:themeShade="BF"/>
          <w:sz w:val="20"/>
          <w:szCs w:val="20"/>
        </w:rPr>
        <w:t>Keywords:</w:t>
      </w:r>
      <w:r>
        <w:rPr>
          <w:rFonts w:hint="default" w:ascii="Arial" w:hAnsi="Arial" w:cs="Arial"/>
          <w:b/>
          <w:bCs/>
          <w:sz w:val="20"/>
          <w:szCs w:val="20"/>
        </w:rPr>
        <w:t xml:space="preserve"> </w:t>
      </w:r>
      <w:r>
        <w:rPr>
          <w:rFonts w:hint="default" w:ascii="Tw Cen MT" w:hAnsi="Tw Cen MT" w:cs="Tw Cen MT"/>
          <w:sz w:val="20"/>
          <w:szCs w:val="20"/>
        </w:rPr>
        <w:t>antimicrobial,</w:t>
      </w:r>
      <w:r>
        <w:rPr>
          <w:rFonts w:hint="default" w:ascii="Tw Cen MT" w:hAnsi="Tw Cen MT" w:cs="Tw Cen MT"/>
          <w:b/>
          <w:bCs/>
          <w:sz w:val="20"/>
          <w:szCs w:val="20"/>
        </w:rPr>
        <w:t xml:space="preserve"> </w:t>
      </w:r>
      <w:r>
        <w:rPr>
          <w:rFonts w:hint="default" w:ascii="Tw Cen MT" w:hAnsi="Tw Cen MT" w:cs="Tw Cen MT"/>
          <w:sz w:val="20"/>
          <w:szCs w:val="20"/>
        </w:rPr>
        <w:t>sanitary pad, clinical study</w:t>
      </w:r>
    </w:p>
    <w:p>
      <w:pPr>
        <w:rPr>
          <w:rFonts w:asciiTheme="majorBidi" w:hAnsiTheme="majorBidi" w:cstheme="majorBidi"/>
          <w:sz w:val="20"/>
          <w:szCs w:val="20"/>
        </w:rPr>
      </w:pPr>
    </w:p>
    <w:p>
      <w:pPr>
        <w:rPr>
          <w:rFonts w:hint="default" w:ascii="Arial" w:hAnsi="Arial" w:cs="Arial"/>
          <w:b/>
          <w:bCs/>
          <w:color w:val="C55A11" w:themeColor="accent2" w:themeShade="BF"/>
          <w:sz w:val="20"/>
          <w:szCs w:val="20"/>
          <w:lang w:val="en-US"/>
        </w:rPr>
      </w:pPr>
      <w:r>
        <w:rPr>
          <w:rFonts w:hint="default" w:ascii="Arial" w:hAnsi="Arial" w:cs="Arial"/>
          <w:b/>
          <w:bCs/>
          <w:color w:val="C55A11" w:themeColor="accent2" w:themeShade="BF"/>
          <w:sz w:val="20"/>
          <w:szCs w:val="20"/>
          <w:lang w:val="en-US"/>
        </w:rPr>
        <w:t>Recent Publications:</w:t>
      </w:r>
    </w:p>
    <w:p>
      <w:pPr>
        <w:numPr>
          <w:ilvl w:val="0"/>
          <w:numId w:val="1"/>
        </w:numPr>
        <w:jc w:val="both"/>
        <w:rPr>
          <w:rFonts w:asciiTheme="minorAscii" w:hAnsiTheme="majorBidi" w:cstheme="majorBidi"/>
          <w:sz w:val="20"/>
          <w:szCs w:val="20"/>
          <w:lang w:val="en-US"/>
        </w:rPr>
      </w:pPr>
      <w:r>
        <w:rPr>
          <w:rFonts w:hAnsi="Arial" w:eastAsia="SimSun" w:cs="Arial" w:asciiTheme="minorAscii"/>
          <w:i w:val="0"/>
          <w:caps w:val="0"/>
          <w:color w:val="222222"/>
          <w:spacing w:val="0"/>
          <w:sz w:val="13"/>
          <w:szCs w:val="13"/>
          <w:shd w:val="clear" w:fill="FFFFFF"/>
        </w:rPr>
        <w:t>Woeller, Kara E., and Anne E. Hochwalt. "Safety assessment of sanitary pads with a polymeric foam absorbent core."</w:t>
      </w:r>
      <w:r>
        <w:rPr>
          <w:rFonts w:hint="default" w:hAnsi="Arial" w:eastAsia="SimSun" w:cs="Arial" w:asciiTheme="minorAscii"/>
          <w:i w:val="0"/>
          <w:caps w:val="0"/>
          <w:color w:val="222222"/>
          <w:spacing w:val="0"/>
          <w:sz w:val="13"/>
          <w:szCs w:val="13"/>
          <w:shd w:val="clear" w:fill="FFFFFF"/>
        </w:rPr>
        <w:t> </w:t>
      </w:r>
      <w:r>
        <w:rPr>
          <w:rFonts w:hint="default" w:hAnsi="Arial" w:eastAsia="SimSun" w:cs="Arial" w:asciiTheme="minorAscii"/>
          <w:i/>
          <w:caps w:val="0"/>
          <w:color w:val="222222"/>
          <w:spacing w:val="0"/>
          <w:sz w:val="13"/>
          <w:szCs w:val="13"/>
          <w:shd w:val="clear" w:fill="FFFFFF"/>
        </w:rPr>
        <w:t>Regulatory Toxicology and Pharmacology</w:t>
      </w:r>
      <w:r>
        <w:rPr>
          <w:rFonts w:hint="default" w:hAnsi="Arial" w:eastAsia="SimSun" w:cs="Arial" w:asciiTheme="minorAscii"/>
          <w:i w:val="0"/>
          <w:caps w:val="0"/>
          <w:color w:val="222222"/>
          <w:spacing w:val="0"/>
          <w:sz w:val="13"/>
          <w:szCs w:val="13"/>
          <w:shd w:val="clear" w:fill="FFFFFF"/>
        </w:rPr>
        <w:t> 73, no. 1 (2015): 419-424.</w:t>
      </w:r>
    </w:p>
    <w:p>
      <w:pPr>
        <w:numPr>
          <w:ilvl w:val="0"/>
          <w:numId w:val="1"/>
        </w:numPr>
        <w:ind w:left="0" w:leftChars="0" w:firstLine="0" w:firstLineChars="0"/>
        <w:jc w:val="both"/>
        <w:rPr>
          <w:rFonts w:asciiTheme="minorAscii" w:hAnsiTheme="majorBidi" w:cstheme="majorBidi"/>
          <w:sz w:val="20"/>
          <w:szCs w:val="20"/>
          <w:lang w:val="en-US"/>
        </w:rPr>
      </w:pPr>
      <w:r>
        <w:rPr>
          <w:rFonts w:hAnsi="Arial" w:eastAsia="SimSun" w:cs="Arial" w:asciiTheme="minorAscii"/>
          <w:i w:val="0"/>
          <w:caps w:val="0"/>
          <w:color w:val="222222"/>
          <w:spacing w:val="0"/>
          <w:sz w:val="13"/>
          <w:szCs w:val="13"/>
          <w:shd w:val="clear" w:fill="FFFFFF"/>
        </w:rPr>
        <w:t>Tzeghai, G.E., Ajayi, F.O., Miller, K.W., Imbescheid, F., Sobel, J.D. and Farage, M.A., 2015. A Feminine care clinical research program transforms women’s lives.</w:t>
      </w:r>
      <w:r>
        <w:rPr>
          <w:rFonts w:hint="default" w:hAnsi="Arial" w:eastAsia="SimSun" w:cs="Arial" w:asciiTheme="minorAscii"/>
          <w:i w:val="0"/>
          <w:caps w:val="0"/>
          <w:color w:val="222222"/>
          <w:spacing w:val="0"/>
          <w:sz w:val="13"/>
          <w:szCs w:val="13"/>
          <w:shd w:val="clear" w:fill="FFFFFF"/>
        </w:rPr>
        <w:t> </w:t>
      </w:r>
      <w:r>
        <w:rPr>
          <w:rFonts w:hint="default" w:hAnsi="Arial" w:eastAsia="SimSun" w:cs="Arial" w:asciiTheme="minorAscii"/>
          <w:i/>
          <w:caps w:val="0"/>
          <w:color w:val="222222"/>
          <w:spacing w:val="0"/>
          <w:sz w:val="13"/>
          <w:szCs w:val="13"/>
          <w:shd w:val="clear" w:fill="FFFFFF"/>
        </w:rPr>
        <w:t>Global journal of health science</w:t>
      </w:r>
      <w:r>
        <w:rPr>
          <w:rFonts w:hint="default" w:hAnsi="Arial" w:eastAsia="SimSun" w:cs="Arial" w:asciiTheme="minorAscii"/>
          <w:i w:val="0"/>
          <w:caps w:val="0"/>
          <w:color w:val="222222"/>
          <w:spacing w:val="0"/>
          <w:sz w:val="13"/>
          <w:szCs w:val="13"/>
          <w:shd w:val="clear" w:fill="FFFFFF"/>
        </w:rPr>
        <w:t>, </w:t>
      </w:r>
      <w:r>
        <w:rPr>
          <w:rFonts w:hint="default" w:hAnsi="Arial" w:eastAsia="SimSun" w:cs="Arial" w:asciiTheme="minorAscii"/>
          <w:i/>
          <w:caps w:val="0"/>
          <w:color w:val="222222"/>
          <w:spacing w:val="0"/>
          <w:sz w:val="13"/>
          <w:szCs w:val="13"/>
          <w:shd w:val="clear" w:fill="FFFFFF"/>
        </w:rPr>
        <w:t>7</w:t>
      </w:r>
      <w:r>
        <w:rPr>
          <w:rFonts w:hint="default" w:hAnsi="Arial" w:eastAsia="SimSun" w:cs="Arial" w:asciiTheme="minorAscii"/>
          <w:i w:val="0"/>
          <w:caps w:val="0"/>
          <w:color w:val="222222"/>
          <w:spacing w:val="0"/>
          <w:sz w:val="13"/>
          <w:szCs w:val="13"/>
          <w:shd w:val="clear" w:fill="FFFFFF"/>
        </w:rPr>
        <w:t>(4), p.45.</w:t>
      </w:r>
    </w:p>
    <w:p>
      <w:pPr>
        <w:numPr>
          <w:ilvl w:val="0"/>
          <w:numId w:val="1"/>
        </w:numPr>
        <w:ind w:left="0" w:leftChars="0" w:firstLine="0" w:firstLineChars="0"/>
        <w:jc w:val="both"/>
        <w:rPr>
          <w:rFonts w:asciiTheme="minorAscii" w:hAnsiTheme="majorBidi" w:cstheme="majorBidi"/>
          <w:sz w:val="20"/>
          <w:szCs w:val="20"/>
          <w:lang w:val="en-US"/>
        </w:rPr>
      </w:pPr>
      <w:r>
        <w:rPr>
          <w:rFonts w:hAnsi="Arial" w:eastAsia="SimSun" w:cs="Arial" w:asciiTheme="minorAscii"/>
          <w:i w:val="0"/>
          <w:caps w:val="0"/>
          <w:color w:val="222222"/>
          <w:spacing w:val="0"/>
          <w:sz w:val="13"/>
          <w:szCs w:val="13"/>
          <w:shd w:val="clear" w:fill="FFFFFF"/>
        </w:rPr>
        <w:t>Farage, M., Elsner, P. and Maibach, H., 2007. Influence of usage practices, ethnicity and climate on the skin compatibility of sanitary pads.</w:t>
      </w:r>
      <w:r>
        <w:rPr>
          <w:rFonts w:hint="default" w:hAnsi="Arial" w:eastAsia="SimSun" w:cs="Arial" w:asciiTheme="minorAscii"/>
          <w:i w:val="0"/>
          <w:caps w:val="0"/>
          <w:color w:val="222222"/>
          <w:spacing w:val="0"/>
          <w:sz w:val="13"/>
          <w:szCs w:val="13"/>
          <w:shd w:val="clear" w:fill="FFFFFF"/>
        </w:rPr>
        <w:t> </w:t>
      </w:r>
      <w:r>
        <w:rPr>
          <w:rFonts w:hint="default" w:hAnsi="Arial" w:eastAsia="SimSun" w:cs="Arial" w:asciiTheme="minorAscii"/>
          <w:i/>
          <w:caps w:val="0"/>
          <w:color w:val="222222"/>
          <w:spacing w:val="0"/>
          <w:sz w:val="13"/>
          <w:szCs w:val="13"/>
          <w:shd w:val="clear" w:fill="FFFFFF"/>
        </w:rPr>
        <w:t>Archives of gynecology and obstetrics</w:t>
      </w:r>
      <w:r>
        <w:rPr>
          <w:rFonts w:hint="default" w:hAnsi="Arial" w:eastAsia="SimSun" w:cs="Arial" w:asciiTheme="minorAscii"/>
          <w:i w:val="0"/>
          <w:caps w:val="0"/>
          <w:color w:val="222222"/>
          <w:spacing w:val="0"/>
          <w:sz w:val="13"/>
          <w:szCs w:val="13"/>
          <w:shd w:val="clear" w:fill="FFFFFF"/>
        </w:rPr>
        <w:t>, </w:t>
      </w:r>
      <w:r>
        <w:rPr>
          <w:rFonts w:hint="default" w:hAnsi="Arial" w:eastAsia="SimSun" w:cs="Arial" w:asciiTheme="minorAscii"/>
          <w:i/>
          <w:caps w:val="0"/>
          <w:color w:val="222222"/>
          <w:spacing w:val="0"/>
          <w:sz w:val="13"/>
          <w:szCs w:val="13"/>
          <w:shd w:val="clear" w:fill="FFFFFF"/>
        </w:rPr>
        <w:t>275</w:t>
      </w:r>
      <w:r>
        <w:rPr>
          <w:rFonts w:hint="default" w:hAnsi="Arial" w:eastAsia="SimSun" w:cs="Arial" w:asciiTheme="minorAscii"/>
          <w:i w:val="0"/>
          <w:caps w:val="0"/>
          <w:color w:val="222222"/>
          <w:spacing w:val="0"/>
          <w:sz w:val="13"/>
          <w:szCs w:val="13"/>
          <w:shd w:val="clear" w:fill="FFFFFF"/>
        </w:rPr>
        <w:t>(6), p.415.</w:t>
      </w:r>
    </w:p>
    <w:p>
      <w:pPr>
        <w:numPr>
          <w:ilvl w:val="0"/>
          <w:numId w:val="1"/>
        </w:numPr>
        <w:ind w:left="0" w:leftChars="0" w:firstLine="0" w:firstLineChars="0"/>
        <w:jc w:val="both"/>
        <w:rPr>
          <w:rFonts w:asciiTheme="minorAscii" w:hAnsiTheme="majorBidi" w:cstheme="majorBidi"/>
          <w:sz w:val="20"/>
          <w:szCs w:val="20"/>
          <w:lang w:val="en-US"/>
        </w:rPr>
      </w:pPr>
      <w:r>
        <w:rPr>
          <w:rFonts w:hAnsi="Arial" w:eastAsia="SimSun" w:cs="Arial" w:asciiTheme="minorAscii"/>
          <w:i w:val="0"/>
          <w:caps w:val="0"/>
          <w:color w:val="222222"/>
          <w:spacing w:val="0"/>
          <w:sz w:val="13"/>
          <w:szCs w:val="13"/>
          <w:shd w:val="clear" w:fill="FFFFFF"/>
        </w:rPr>
        <w:t>Blank, L.M., Boyce, T.D. and White, W.C., Dow Corning Corp, 1991.</w:t>
      </w:r>
      <w:r>
        <w:rPr>
          <w:rFonts w:hint="default" w:hAnsi="Arial" w:eastAsia="SimSun" w:cs="Arial" w:asciiTheme="minorAscii"/>
          <w:i w:val="0"/>
          <w:caps w:val="0"/>
          <w:color w:val="222222"/>
          <w:spacing w:val="0"/>
          <w:sz w:val="13"/>
          <w:szCs w:val="13"/>
          <w:shd w:val="clear" w:fill="FFFFFF"/>
        </w:rPr>
        <w:t> </w:t>
      </w:r>
      <w:r>
        <w:rPr>
          <w:rFonts w:hint="default" w:hAnsi="Arial" w:eastAsia="SimSun" w:cs="Arial" w:asciiTheme="minorAscii"/>
          <w:i/>
          <w:caps w:val="0"/>
          <w:color w:val="222222"/>
          <w:spacing w:val="0"/>
          <w:sz w:val="13"/>
          <w:szCs w:val="13"/>
          <w:shd w:val="clear" w:fill="FFFFFF"/>
        </w:rPr>
        <w:t>Antimicrobial superabsorbent sanitary napkin</w:t>
      </w:r>
      <w:r>
        <w:rPr>
          <w:rFonts w:hint="default" w:hAnsi="Arial" w:eastAsia="SimSun" w:cs="Arial" w:asciiTheme="minorAscii"/>
          <w:i w:val="0"/>
          <w:caps w:val="0"/>
          <w:color w:val="222222"/>
          <w:spacing w:val="0"/>
          <w:sz w:val="13"/>
          <w:szCs w:val="13"/>
          <w:shd w:val="clear" w:fill="FFFFFF"/>
        </w:rPr>
        <w:t>. U.S. Patent 5,045,322.</w:t>
      </w:r>
    </w:p>
    <w:p>
      <w:pPr>
        <w:numPr>
          <w:ilvl w:val="0"/>
          <w:numId w:val="1"/>
        </w:numPr>
        <w:ind w:left="0" w:leftChars="0" w:firstLine="0" w:firstLineChars="0"/>
        <w:jc w:val="both"/>
        <w:rPr>
          <w:rFonts w:asciiTheme="minorAscii" w:hAnsiTheme="majorBidi" w:cstheme="majorBidi"/>
          <w:sz w:val="20"/>
          <w:szCs w:val="20"/>
          <w:lang w:val="en-US"/>
        </w:rPr>
      </w:pPr>
      <w:r>
        <w:rPr>
          <w:rFonts w:hAnsi="Arial" w:eastAsia="SimSun" w:cs="Arial" w:asciiTheme="minorAscii"/>
          <w:i w:val="0"/>
          <w:caps w:val="0"/>
          <w:color w:val="222222"/>
          <w:spacing w:val="0"/>
          <w:sz w:val="13"/>
          <w:szCs w:val="13"/>
          <w:shd w:val="clear" w:fill="FFFFFF"/>
        </w:rPr>
        <w:t>Burnier, V. and Brissonnet, J.P., LaRoche Posay Laboratoire Pharmaceutique, 1998.</w:t>
      </w:r>
      <w:r>
        <w:rPr>
          <w:rFonts w:hint="default" w:hAnsi="Arial" w:eastAsia="SimSun" w:cs="Arial" w:asciiTheme="minorAscii"/>
          <w:i w:val="0"/>
          <w:caps w:val="0"/>
          <w:color w:val="222222"/>
          <w:spacing w:val="0"/>
          <w:sz w:val="13"/>
          <w:szCs w:val="13"/>
          <w:shd w:val="clear" w:fill="FFFFFF"/>
        </w:rPr>
        <w:t> </w:t>
      </w:r>
      <w:r>
        <w:rPr>
          <w:rFonts w:hint="default" w:hAnsi="Arial" w:eastAsia="SimSun" w:cs="Arial" w:asciiTheme="minorAscii"/>
          <w:i/>
          <w:caps w:val="0"/>
          <w:color w:val="222222"/>
          <w:spacing w:val="0"/>
          <w:sz w:val="13"/>
          <w:szCs w:val="13"/>
          <w:shd w:val="clear" w:fill="FFFFFF"/>
        </w:rPr>
        <w:t>Pharmacceutical/cosmetic compositions comprising synergistic antimicrobial admixture</w:t>
      </w:r>
      <w:r>
        <w:rPr>
          <w:rFonts w:hint="default" w:hAnsi="Arial" w:eastAsia="SimSun" w:cs="Arial" w:asciiTheme="minorAscii"/>
          <w:i w:val="0"/>
          <w:caps w:val="0"/>
          <w:color w:val="222222"/>
          <w:spacing w:val="0"/>
          <w:sz w:val="13"/>
          <w:szCs w:val="13"/>
          <w:shd w:val="clear" w:fill="FFFFFF"/>
        </w:rPr>
        <w:t>. U.S. Patent 5,736,574.</w:t>
      </w:r>
    </w:p>
    <w:p>
      <w:pPr>
        <w:rPr>
          <w:rFonts w:asciiTheme="minorAscii" w:hAnsiTheme="majorBidi" w:cstheme="majorBidi"/>
          <w:sz w:val="20"/>
          <w:szCs w:val="20"/>
        </w:rPr>
        <w:sectPr>
          <w:type w:val="continuous"/>
          <w:pgSz w:w="12240" w:h="15840"/>
          <w:pgMar w:top="1440" w:right="1440" w:bottom="1440" w:left="1440" w:header="708" w:footer="708" w:gutter="0"/>
          <w:cols w:equalWidth="0" w:num="2">
            <w:col w:w="4467" w:space="425"/>
            <w:col w:w="4467"/>
          </w:cols>
          <w:docGrid w:linePitch="360" w:charSpace="0"/>
        </w:sectPr>
      </w:pPr>
    </w:p>
    <w:p>
      <w:pPr>
        <w:jc w:val="both"/>
        <w:rPr>
          <w:rFonts w:asciiTheme="minorAscii" w:hAnsiTheme="majorBidi" w:cstheme="majorBidi"/>
          <w:sz w:val="24"/>
          <w:szCs w:val="24"/>
        </w:rPr>
      </w:pPr>
    </w:p>
    <w:p>
      <w:pPr>
        <w:jc w:val="center"/>
        <w:rPr>
          <w:rFonts w:asciiTheme="majorBidi" w:hAnsiTheme="majorBidi" w:cstheme="majorBidi"/>
          <w:sz w:val="24"/>
          <w:szCs w:val="24"/>
        </w:rPr>
      </w:pPr>
      <w:r>
        <w:rPr>
          <w:rFonts w:ascii="Calibri"/>
          <w:sz w:val="4"/>
          <w:lang w:val="en-IN" w:eastAsia="en-IN"/>
        </w:rPr>
        <mc:AlternateContent>
          <mc:Choice Requires="wpg">
            <w:drawing>
              <wp:inline distT="0" distB="0" distL="0" distR="0">
                <wp:extent cx="3975735" cy="25400"/>
                <wp:effectExtent l="0" t="0" r="0" b="0"/>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ind w:left="120" w:hanging="20" w:hangingChars="50"/>
        <w:rPr>
          <w:rFonts w:ascii="Calibri"/>
          <w:sz w:val="4"/>
          <w:lang w:val="en-IN" w:eastAsia="en-IN"/>
        </w:rPr>
      </w:pPr>
      <w:r>
        <w:rPr>
          <w:rFonts w:ascii="Calibri"/>
          <w:sz w:val="4"/>
          <w:lang w:val="en-IN" w:eastAsia="en-IN"/>
        </w:rPr>
        <w:drawing>
          <wp:inline distT="0" distB="0" distL="114300" distR="114300">
            <wp:extent cx="521335" cy="670560"/>
            <wp:effectExtent l="0" t="0" r="12065" b="2540"/>
            <wp:docPr id="1" name="Picture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
                    <pic:cNvPicPr>
                      <a:picLocks noChangeAspect="1"/>
                    </pic:cNvPicPr>
                  </pic:nvPicPr>
                  <pic:blipFill>
                    <a:blip r:embed="rId4"/>
                    <a:stretch>
                      <a:fillRect/>
                    </a:stretch>
                  </pic:blipFill>
                  <pic:spPr>
                    <a:xfrm>
                      <a:off x="0" y="0"/>
                      <a:ext cx="521335" cy="670560"/>
                    </a:xfrm>
                    <a:prstGeom prst="rect">
                      <a:avLst/>
                    </a:prstGeom>
                  </pic:spPr>
                </pic:pic>
              </a:graphicData>
            </a:graphic>
          </wp:inline>
        </w:drawing>
      </w:r>
    </w:p>
    <w:p>
      <w:pPr>
        <w:ind w:left="120" w:hanging="110" w:hangingChars="50"/>
        <w:rPr>
          <w:rFonts w:hint="default" w:ascii="Arial" w:hAnsi="Arial" w:cs="Arial"/>
          <w:b w:val="0"/>
          <w:bCs w:val="0"/>
          <w:color w:val="C55A11" w:themeColor="accent2" w:themeShade="BF"/>
          <w:sz w:val="22"/>
          <w:szCs w:val="22"/>
          <w:lang w:val="en-US"/>
        </w:rPr>
      </w:pPr>
      <w:r>
        <w:rPr>
          <w:rFonts w:hint="default" w:ascii="Arial" w:hAnsi="Arial" w:cs="Arial"/>
          <w:b w:val="0"/>
          <w:bCs w:val="0"/>
          <w:color w:val="C55A11" w:themeColor="accent2" w:themeShade="BF"/>
          <w:sz w:val="22"/>
          <w:szCs w:val="22"/>
          <w:lang w:val="en-US"/>
        </w:rPr>
        <w:t>Biography:</w:t>
      </w:r>
    </w:p>
    <w:p>
      <w:pPr>
        <w:spacing w:after="0" w:line="240" w:lineRule="auto"/>
        <w:ind w:left="0" w:firstLine="0" w:firstLineChars="0"/>
        <w:rPr>
          <w:rFonts w:hint="default" w:ascii="Arial" w:hAnsi="Arial" w:cs="Arial"/>
          <w:sz w:val="15"/>
          <w:szCs w:val="15"/>
          <w:lang w:val="en-US"/>
        </w:rPr>
      </w:pPr>
      <w:r>
        <w:rPr>
          <w:rFonts w:hint="default" w:ascii="Arial" w:hAnsi="Arial" w:cs="Arial"/>
          <w:sz w:val="15"/>
          <w:szCs w:val="15"/>
          <w:lang w:val="en-US"/>
        </w:rPr>
        <w:t>Hamid Nazifi M.D. is an enthusiastic researcher in Dermatology, participating in Dermatology Research Center as a member of this institute with his well-known well-experienced colleagues. His good reasonable clinical experience and intense interest in research helped him make his way through research fields as a young motivated person.</w:t>
      </w:r>
    </w:p>
    <w:p>
      <w:pPr>
        <w:spacing w:after="0" w:line="240" w:lineRule="auto"/>
        <w:ind w:left="0" w:firstLine="0" w:firstLineChars="0"/>
        <w:rPr>
          <w:rFonts w:asciiTheme="majorBidi" w:hAnsiTheme="majorBidi" w:cstheme="majorBidi"/>
          <w:sz w:val="20"/>
          <w:szCs w:val="20"/>
          <w:lang w:val="en-US"/>
        </w:rPr>
      </w:pPr>
    </w:p>
    <w:p>
      <w:pPr>
        <w:spacing w:after="0" w:line="240" w:lineRule="auto"/>
        <w:ind w:left="0" w:firstLine="0" w:firstLineChars="0"/>
        <w:jc w:val="center"/>
        <w:rPr>
          <w:rFonts w:hint="default" w:ascii="Arial" w:hAnsi="Arial" w:cs="Arial"/>
          <w:sz w:val="20"/>
          <w:szCs w:val="20"/>
          <w:lang w:val="en-US"/>
        </w:rPr>
      </w:pPr>
      <w:r>
        <w:rPr>
          <w:rFonts w:hint="default" w:ascii="Arial" w:hAnsi="Arial" w:eastAsia="Times New Roman" w:cs="Arial"/>
          <w:b/>
          <w:bCs/>
          <w:i w:val="0"/>
          <w:iCs/>
          <w:sz w:val="15"/>
          <w:szCs w:val="15"/>
        </w:rPr>
        <w:t>E-mail:</w:t>
      </w:r>
      <w:r>
        <w:rPr>
          <w:rFonts w:hint="default" w:ascii="Arial" w:hAnsi="Arial" w:eastAsia="Times New Roman" w:cs="Arial"/>
          <w:b/>
          <w:bCs/>
          <w:i w:val="0"/>
          <w:iCs/>
          <w:sz w:val="15"/>
          <w:szCs w:val="15"/>
          <w:lang w:val="en-US"/>
        </w:rPr>
        <w:t xml:space="preserve"> Hamid.Nazifi@gmail.com</w:t>
      </w:r>
    </w:p>
    <w:sectPr>
      <w:type w:val="continuous"/>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Body">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auto"/>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B Arabic Style">
    <w:panose1 w:val="00000400000000000000"/>
    <w:charset w:val="00"/>
    <w:family w:val="auto"/>
    <w:pitch w:val="default"/>
    <w:sig w:usb0="00006000" w:usb1="80000000" w:usb2="00000008" w:usb3="00000000" w:csb0="00000040" w:csb1="00000000"/>
  </w:font>
  <w:font w:name="B Karim">
    <w:panose1 w:val="00000400000000000000"/>
    <w:charset w:val="00"/>
    <w:family w:val="auto"/>
    <w:pitch w:val="default"/>
    <w:sig w:usb0="00006000" w:usb1="80000000" w:usb2="00000008" w:usb3="00000000" w:csb0="00000040" w:csb1="00000000"/>
  </w:font>
  <w:font w:name="B Baran">
    <w:panose1 w:val="00000400000000000000"/>
    <w:charset w:val="00"/>
    <w:family w:val="auto"/>
    <w:pitch w:val="default"/>
    <w:sig w:usb0="00006000" w:usb1="80000000" w:usb2="00000008" w:usb3="00000000" w:csb0="00000040" w:csb1="00000000"/>
  </w:font>
  <w:font w:name="B Nazanin">
    <w:panose1 w:val="00000400000000000000"/>
    <w:charset w:val="00"/>
    <w:family w:val="auto"/>
    <w:pitch w:val="default"/>
    <w:sig w:usb0="00006000" w:usb1="80000000" w:usb2="00000008" w:usb3="00000000" w:csb0="00000040" w:csb1="00000000"/>
  </w:font>
  <w:font w:name="Calibri Light">
    <w:panose1 w:val="020F0302020204030204"/>
    <w:charset w:val="00"/>
    <w:family w:val="auto"/>
    <w:pitch w:val="default"/>
    <w:sig w:usb0="E0002AFF" w:usb1="C000247B" w:usb2="00000009" w:usb3="00000000" w:csb0="200001FF" w:csb1="00000000"/>
  </w:font>
  <w:font w:name="TeamViewer14">
    <w:panose1 w:val="050B0102010101010101"/>
    <w:charset w:val="00"/>
    <w:family w:val="auto"/>
    <w:pitch w:val="default"/>
    <w:sig w:usb0="00000000" w:usb1="00000000" w:usb2="00000000" w:usb3="80000000" w:csb0="00000000" w:csb1="00008000"/>
  </w:font>
  <w:font w:name="Tempus Sans ITC">
    <w:panose1 w:val="04020404030D07020202"/>
    <w:charset w:val="00"/>
    <w:family w:val="auto"/>
    <w:pitch w:val="default"/>
    <w:sig w:usb0="00000003" w:usb1="00000000" w:usb2="00000000" w:usb3="00000000" w:csb0="20000001" w:csb1="00000000"/>
  </w:font>
  <w:font w:name="Titr">
    <w:altName w:val="B Titr"/>
    <w:panose1 w:val="00000000000000000000"/>
    <w:charset w:val="00"/>
    <w:family w:val="auto"/>
    <w:pitch w:val="default"/>
    <w:sig w:usb0="00000000" w:usb1="00000000" w:usb2="00000000" w:usb3="00000000" w:csb0="00000000" w:csb1="00000000"/>
  </w:font>
  <w:font w:name="B Titr">
    <w:panose1 w:val="00000700000000000000"/>
    <w:charset w:val="00"/>
    <w:family w:val="auto"/>
    <w:pitch w:val="default"/>
    <w:sig w:usb0="00006000" w:usb1="80000000" w:usb2="00000008" w:usb3="00000000" w:csb0="00000040" w:csb1="00000000"/>
  </w:font>
  <w:font w:name="Traditional Arabic">
    <w:panose1 w:val="02020603050405020304"/>
    <w:charset w:val="00"/>
    <w:family w:val="auto"/>
    <w:pitch w:val="default"/>
    <w:sig w:usb0="00002003" w:usb1="80000000" w:usb2="00000008" w:usb3="00000000" w:csb0="00000041" w:csb1="20080000"/>
  </w:font>
  <w:font w:name="Traffic">
    <w:altName w:val="B Traffic"/>
    <w:panose1 w:val="00000000000000000000"/>
    <w:charset w:val="00"/>
    <w:family w:val="auto"/>
    <w:pitch w:val="default"/>
    <w:sig w:usb0="00000000" w:usb1="00000000" w:usb2="00000000" w:usb3="00000000" w:csb0="00000000" w:csb1="00000000"/>
  </w:font>
  <w:font w:name="B Traffic">
    <w:panose1 w:val="00000400000000000000"/>
    <w:charset w:val="00"/>
    <w:family w:val="auto"/>
    <w:pitch w:val="default"/>
    <w:sig w:usb0="00006000" w:usb1="80000000" w:usb2="00000008" w:usb3="00000000" w:csb0="00000040" w:csb1="00000000"/>
  </w:font>
  <w:font w:name="Trebuchet MS">
    <w:panose1 w:val="020B0603020202020204"/>
    <w:charset w:val="00"/>
    <w:family w:val="auto"/>
    <w:pitch w:val="default"/>
    <w:sig w:usb0="00000687" w:usb1="00000000" w:usb2="00000000" w:usb3="00000000" w:csb0="2000009F" w:csb1="00000000"/>
  </w:font>
  <w:font w:name="Tw Cen MT">
    <w:panose1 w:val="020B0602020104020603"/>
    <w:charset w:val="00"/>
    <w:family w:val="auto"/>
    <w:pitch w:val="default"/>
    <w:sig w:usb0="00000003" w:usb1="00000000" w:usb2="00000000" w:usb3="00000000" w:csb0="20000003" w:csb1="00000000"/>
  </w:font>
  <w:font w:name="Temp Installer Font">
    <w:altName w:val="Segoe Print"/>
    <w:panose1 w:val="00000000000000000000"/>
    <w:charset w:val="00"/>
    <w:family w:val="auto"/>
    <w:pitch w:val="default"/>
    <w:sig w:usb0="00000000" w:usb1="00000000" w:usb2="00000000" w:usb3="00000000" w:csb0="00000000" w:csb1="00000000"/>
  </w:font>
  <w:font w:name="IRSina">
    <w:panose1 w:val="02000503000000020002"/>
    <w:charset w:val="00"/>
    <w:family w:val="auto"/>
    <w:pitch w:val="default"/>
    <w:sig w:usb0="00002003" w:usb1="00000000" w:usb2="00000000" w:usb3="00000000" w:csb0="20000041" w:csb1="00000000"/>
  </w:font>
  <w:font w:name="IRTabassom">
    <w:panose1 w:val="02000503000000020002"/>
    <w:charset w:val="00"/>
    <w:family w:val="auto"/>
    <w:pitch w:val="default"/>
    <w:sig w:usb0="00002003" w:usb1="00000000" w:usb2="00000000" w:usb3="00000000" w:csb0="20000041" w:csb1="00000000"/>
  </w:font>
  <w:font w:name="IRTehran">
    <w:panose1 w:val="02000503000000020002"/>
    <w:charset w:val="00"/>
    <w:family w:val="auto"/>
    <w:pitch w:val="default"/>
    <w:sig w:usb0="00002003" w:usb1="00000000" w:usb2="00000000" w:usb3="00000000" w:csb0="20000041" w:csb1="00000000"/>
  </w:font>
  <w:font w:name="IRTerafik">
    <w:panose1 w:val="02000503000000020002"/>
    <w:charset w:val="00"/>
    <w:family w:val="auto"/>
    <w:pitch w:val="default"/>
    <w:sig w:usb0="00002003" w:usb1="00000000" w:usb2="00000000" w:usb3="00000000" w:csb0="20000041" w:csb1="00000000"/>
  </w:font>
  <w:font w:name="Adobe Ming Std L">
    <w:panose1 w:val="02020300000000000000"/>
    <w:charset w:val="88"/>
    <w:family w:val="auto"/>
    <w:pitch w:val="default"/>
    <w:sig w:usb0="00000001" w:usb1="1A0F1900" w:usb2="00000016" w:usb3="00000000" w:csb0="00120005" w:csb1="00000000"/>
  </w:font>
  <w:font w:name="Adobe Myungjo Std M">
    <w:panose1 w:val="02020600000000000000"/>
    <w:charset w:val="80"/>
    <w:family w:val="auto"/>
    <w:pitch w:val="default"/>
    <w:sig w:usb0="00000001" w:usb1="21D72C10" w:usb2="00000010" w:usb3="00000000" w:csb0="602A0005" w:csb1="00000000"/>
  </w:font>
  <w:font w:name="Adobe Song Std L">
    <w:panose1 w:val="02020300000000000000"/>
    <w:charset w:val="86"/>
    <w:family w:val="auto"/>
    <w:pitch w:val="default"/>
    <w:sig w:usb0="00000001" w:usb1="0A0F1810" w:usb2="00000016" w:usb3="00000000" w:csb0="00060007" w:csb1="00000000"/>
  </w:font>
  <w:font w:name="FZShuTi">
    <w:panose1 w:val="02010601030101010101"/>
    <w:charset w:val="86"/>
    <w:family w:val="auto"/>
    <w:pitch w:val="default"/>
    <w:sig w:usb0="00000003" w:usb1="080E0000" w:usb2="00000000" w:usb3="00000000" w:csb0="00040000" w:csb1="00000000"/>
  </w:font>
  <w:font w:name="Algerian">
    <w:panose1 w:val="04020705040A02060702"/>
    <w:charset w:val="00"/>
    <w:family w:val="auto"/>
    <w:pitch w:val="default"/>
    <w:sig w:usb0="00000003" w:usb1="00000000" w:usb2="00000000" w:usb3="00000000" w:csb0="20000001" w:csb1="00000000"/>
  </w:font>
  <w:font w:name="Andalus">
    <w:panose1 w:val="02020603050405020304"/>
    <w:charset w:val="00"/>
    <w:family w:val="auto"/>
    <w:pitch w:val="default"/>
    <w:sig w:usb0="00002003" w:usb1="80000000" w:usb2="00000008" w:usb3="00000000" w:csb0="00000041" w:csb1="20080000"/>
  </w:font>
  <w:font w:name="Arabic Style">
    <w:altName w:val="Segoe Print"/>
    <w:panose1 w:val="00000000000000000000"/>
    <w:charset w:val="00"/>
    <w:family w:val="auto"/>
    <w:pitch w:val="default"/>
    <w:sig w:usb0="00000000" w:usb1="00000000" w:usb2="00000000" w:usb3="00000000" w:csb0="00000000" w:csb1="00000000"/>
  </w:font>
  <w:font w:name="Arabic Typesetting">
    <w:panose1 w:val="03020402040406030203"/>
    <w:charset w:val="00"/>
    <w:family w:val="auto"/>
    <w:pitch w:val="default"/>
    <w:sig w:usb0="80002007" w:usb1="80000000" w:usb2="00000008" w:usb3="00000000" w:csb0="000000D3" w:csb1="20080000"/>
  </w:font>
  <w:font w:name="Minion Pro">
    <w:panose1 w:val="02040503050201020203"/>
    <w:charset w:val="00"/>
    <w:family w:val="auto"/>
    <w:pitch w:val="default"/>
    <w:sig w:usb0="60000287" w:usb1="00000001"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85B02"/>
    <w:multiLevelType w:val="singleLevel"/>
    <w:tmpl w:val="46B85B0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89A"/>
    <w:rsid w:val="0026087A"/>
    <w:rsid w:val="00362CCA"/>
    <w:rsid w:val="00704BF5"/>
    <w:rsid w:val="00C5289A"/>
    <w:rsid w:val="00DC3064"/>
    <w:rsid w:val="00F22386"/>
    <w:rsid w:val="0E71169C"/>
    <w:rsid w:val="222D6785"/>
    <w:rsid w:val="2A860D49"/>
    <w:rsid w:val="2BC3154A"/>
    <w:rsid w:val="371F0673"/>
    <w:rsid w:val="5826617D"/>
    <w:rsid w:val="73FB78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310</Words>
  <Characters>1769</Characters>
  <Lines>14</Lines>
  <Paragraphs>4</Paragraphs>
  <TotalTime>67</TotalTime>
  <ScaleCrop>false</ScaleCrop>
  <LinksUpToDate>false</LinksUpToDate>
  <CharactersWithSpaces>2075</CharactersWithSpaces>
  <Application>WPS Office_10.2.0.7635_F1E327BC-269C-435d-A152-05C5408002CA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2017-11-28T16:20:00Z</dcterms:created>
  <dc:creator>1</dc:creator>
  <cp:lastModifiedBy>AA</cp:lastModifiedBy>
  <dcterms:modified xsi:type="dcterms:W3CDTF">2019-02-24T15:29:36Z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