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B97" w:rsidRPr="002226CA" w:rsidRDefault="00B81B97" w:rsidP="00B81B97">
      <w:pPr>
        <w:pStyle w:val="sub-subsec"/>
        <w:shd w:val="clear" w:color="auto" w:fill="FFFFFF"/>
        <w:spacing w:after="0" w:afterAutospacing="0"/>
        <w:rPr>
          <w:b/>
          <w:bCs/>
          <w:color w:val="000000"/>
          <w:sz w:val="22"/>
          <w:szCs w:val="22"/>
        </w:rPr>
      </w:pPr>
      <w:r>
        <w:rPr>
          <w:rFonts w:ascii="Tw Cen MT" w:hAnsi="Tw Cen MT"/>
          <w:bCs/>
          <w:color w:val="000000"/>
          <w:sz w:val="18"/>
          <w:szCs w:val="18"/>
        </w:rPr>
        <w:t>Prognostic importance of lactate level during transfusion</w:t>
      </w:r>
    </w:p>
    <w:p w:rsidR="00B81B97" w:rsidRDefault="00B81B97" w:rsidP="00B81B97">
      <w:pPr>
        <w:jc w:val="both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M.D. Ermira BIU</w:t>
      </w:r>
    </w:p>
    <w:p w:rsidR="00B81B97" w:rsidRDefault="00B81B97" w:rsidP="00B81B97">
      <w:pPr>
        <w:rPr>
          <w:rFonts w:ascii="Arial"/>
          <w:sz w:val="21"/>
        </w:rPr>
        <w:sectPr w:rsidR="00B81B97" w:rsidSect="00731381">
          <w:headerReference w:type="default" r:id="rId7"/>
          <w:footerReference w:type="default" r:id="rId8"/>
          <w:pgSz w:w="11910" w:h="16840"/>
          <w:pgMar w:top="720" w:right="720" w:bottom="720" w:left="720" w:header="1008" w:footer="1584" w:gutter="0"/>
          <w:cols w:space="720"/>
          <w:docGrid w:linePitch="299"/>
        </w:sectPr>
      </w:pPr>
      <w:r>
        <w:rPr>
          <w:rFonts w:eastAsia="MS PGothic" w:hAnsi="Arial"/>
          <w:color w:val="000000"/>
        </w:rPr>
        <w:t>Faculty of Technical Medical Sciences</w:t>
      </w:r>
      <w:r w:rsidRPr="00327F9B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 xml:space="preserve">University of Medicine, </w:t>
      </w:r>
      <w:r>
        <w:rPr>
          <w:rFonts w:eastAsia="MS PGothic"/>
          <w:color w:val="000000"/>
        </w:rPr>
        <w:t>Tirana, Albania</w:t>
      </w:r>
    </w:p>
    <w:p w:rsidR="0071759E" w:rsidRDefault="0071759E" w:rsidP="00B36534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 xml:space="preserve">Abstract </w:t>
      </w:r>
    </w:p>
    <w:p w:rsidR="00B81B97" w:rsidRPr="00F956E1" w:rsidRDefault="00B81B97" w:rsidP="00B81B97">
      <w:pPr>
        <w:pStyle w:val="sub-subsec"/>
        <w:shd w:val="clear" w:color="auto" w:fill="FFFFFF"/>
        <w:spacing w:after="0" w:afterAutospacing="0"/>
        <w:jc w:val="both"/>
        <w:rPr>
          <w:rFonts w:ascii="Tw Cen MT" w:hAnsi="Tw Cen MT"/>
          <w:b/>
          <w:bCs/>
          <w:color w:val="000000"/>
          <w:sz w:val="18"/>
          <w:szCs w:val="18"/>
        </w:rPr>
      </w:pPr>
      <w:r w:rsidRPr="00F956E1">
        <w:rPr>
          <w:rFonts w:ascii="Tw Cen MT" w:hAnsi="Tw Cen MT"/>
          <w:b/>
          <w:bCs/>
          <w:color w:val="000000"/>
          <w:sz w:val="18"/>
          <w:szCs w:val="18"/>
        </w:rPr>
        <w:t>Background:</w:t>
      </w:r>
      <w:r>
        <w:rPr>
          <w:rFonts w:ascii="Tw Cen MT" w:hAnsi="Tw Cen MT"/>
          <w:b/>
          <w:bCs/>
          <w:color w:val="000000"/>
          <w:sz w:val="18"/>
          <w:szCs w:val="18"/>
        </w:rPr>
        <w:t xml:space="preserve"> </w:t>
      </w:r>
      <w:r>
        <w:rPr>
          <w:rFonts w:ascii="Tw Cen MT" w:hAnsi="Tw Cen MT"/>
          <w:bCs/>
          <w:color w:val="000000"/>
          <w:sz w:val="18"/>
          <w:szCs w:val="18"/>
        </w:rPr>
        <w:t>Elevated lactate is a good predictor parameter of tissue hy</w:t>
      </w:r>
      <w:r w:rsidRPr="00F956E1">
        <w:rPr>
          <w:rFonts w:ascii="Tw Cen MT" w:hAnsi="Tw Cen MT"/>
          <w:bCs/>
          <w:color w:val="000000"/>
          <w:sz w:val="18"/>
          <w:szCs w:val="18"/>
        </w:rPr>
        <w:t>poperfusion</w:t>
      </w:r>
      <w:r>
        <w:rPr>
          <w:rFonts w:ascii="Tw Cen MT" w:hAnsi="Tw Cen MT"/>
          <w:bCs/>
          <w:color w:val="000000"/>
          <w:sz w:val="18"/>
          <w:szCs w:val="18"/>
        </w:rPr>
        <w:t xml:space="preserve"> and is well known as an universal risk factor for mortality. </w:t>
      </w:r>
    </w:p>
    <w:p w:rsidR="00B81B97" w:rsidRDefault="00B81B97" w:rsidP="00B81B97">
      <w:pPr>
        <w:pStyle w:val="sub-subsec"/>
        <w:shd w:val="clear" w:color="auto" w:fill="FFFFFF"/>
        <w:spacing w:before="0" w:beforeAutospacing="0" w:after="0" w:afterAutospacing="0"/>
        <w:jc w:val="both"/>
        <w:rPr>
          <w:rFonts w:ascii="Tw Cen MT" w:hAnsi="Tw Cen MT"/>
          <w:bCs/>
          <w:color w:val="000000"/>
          <w:sz w:val="18"/>
          <w:szCs w:val="18"/>
        </w:rPr>
      </w:pPr>
      <w:r w:rsidRPr="00F956E1">
        <w:rPr>
          <w:rFonts w:ascii="Tw Cen MT" w:hAnsi="Tw Cen MT"/>
          <w:b/>
          <w:bCs/>
          <w:color w:val="000000"/>
          <w:sz w:val="18"/>
          <w:szCs w:val="18"/>
        </w:rPr>
        <w:t>Aim:</w:t>
      </w:r>
      <w:r>
        <w:rPr>
          <w:rFonts w:ascii="Tw Cen MT" w:hAnsi="Tw Cen MT"/>
          <w:bCs/>
          <w:color w:val="000000"/>
          <w:sz w:val="18"/>
          <w:szCs w:val="18"/>
        </w:rPr>
        <w:t xml:space="preserve"> Evaluation of 24-h variation of lactates values as prognostic indicator of patients</w:t>
      </w:r>
      <w:r w:rsidRPr="00FE5B18">
        <w:rPr>
          <w:rFonts w:ascii="Tw Cen MT" w:hAnsi="Tw Cen MT"/>
          <w:bCs/>
          <w:color w:val="000000"/>
          <w:sz w:val="18"/>
          <w:szCs w:val="18"/>
        </w:rPr>
        <w:t xml:space="preserve"> </w:t>
      </w:r>
      <w:r>
        <w:rPr>
          <w:rFonts w:ascii="Tw Cen MT" w:hAnsi="Tw Cen MT"/>
          <w:bCs/>
          <w:color w:val="000000"/>
          <w:sz w:val="18"/>
          <w:szCs w:val="18"/>
        </w:rPr>
        <w:t>admitted to ICU-care.</w:t>
      </w:r>
    </w:p>
    <w:p w:rsidR="00B81B97" w:rsidRPr="00F956E1" w:rsidRDefault="00B81B97" w:rsidP="00B81B97">
      <w:pPr>
        <w:pStyle w:val="sub-subsec"/>
        <w:shd w:val="clear" w:color="auto" w:fill="FFFFFF"/>
        <w:spacing w:before="0" w:beforeAutospacing="0" w:after="0" w:afterAutospacing="0"/>
        <w:jc w:val="both"/>
        <w:rPr>
          <w:rFonts w:ascii="Tw Cen MT" w:hAnsi="Tw Cen MT"/>
          <w:color w:val="000000"/>
          <w:sz w:val="18"/>
          <w:szCs w:val="18"/>
          <w:shd w:val="clear" w:color="auto" w:fill="FFFFFF"/>
        </w:rPr>
      </w:pPr>
      <w:r w:rsidRPr="00F956E1">
        <w:rPr>
          <w:rFonts w:ascii="Tw Cen MT" w:hAnsi="Tw Cen MT"/>
          <w:b/>
          <w:bCs/>
          <w:color w:val="000000"/>
          <w:sz w:val="18"/>
          <w:szCs w:val="18"/>
        </w:rPr>
        <w:t>Methods:</w:t>
      </w:r>
      <w:r>
        <w:rPr>
          <w:rFonts w:ascii="Tw Cen MT" w:hAnsi="Tw Cen MT"/>
          <w:sz w:val="18"/>
          <w:szCs w:val="18"/>
          <w:shd w:val="clear" w:color="auto" w:fill="FFFFFF"/>
        </w:rPr>
        <w:t xml:space="preserve"> </w:t>
      </w:r>
      <w:r w:rsidRPr="00F956E1">
        <w:rPr>
          <w:rFonts w:ascii="Tw Cen MT" w:hAnsi="Tw Cen MT"/>
          <w:sz w:val="18"/>
          <w:szCs w:val="18"/>
        </w:rPr>
        <w:t>In this pros</w:t>
      </w:r>
      <w:r>
        <w:rPr>
          <w:rFonts w:ascii="Tw Cen MT" w:hAnsi="Tw Cen MT"/>
          <w:sz w:val="18"/>
          <w:szCs w:val="18"/>
        </w:rPr>
        <w:t>pective observational study,</w:t>
      </w:r>
      <w:r w:rsidRPr="00F956E1">
        <w:rPr>
          <w:rFonts w:ascii="Tw Cen MT" w:hAnsi="Tw Cen MT"/>
          <w:sz w:val="18"/>
          <w:szCs w:val="18"/>
        </w:rPr>
        <w:t xml:space="preserve">105 patients were enrolled at ICU care unit of UHC “Mother </w:t>
      </w:r>
      <w:r>
        <w:rPr>
          <w:rFonts w:ascii="Tw Cen MT" w:hAnsi="Tw Cen MT"/>
          <w:sz w:val="18"/>
          <w:szCs w:val="18"/>
        </w:rPr>
        <w:t>Theresa”, Tirana during January</w:t>
      </w:r>
      <w:r w:rsidRPr="00F956E1">
        <w:rPr>
          <w:rFonts w:ascii="Tw Cen MT" w:hAnsi="Tw Cen MT"/>
          <w:sz w:val="18"/>
          <w:szCs w:val="18"/>
        </w:rPr>
        <w:t>–December 2015. All patients underwent 1 or more units of packed red blood cell transfusions in 24 hours based on monitored lactate</w:t>
      </w:r>
      <w:r>
        <w:rPr>
          <w:rFonts w:ascii="Tw Cen MT" w:hAnsi="Tw Cen MT"/>
          <w:sz w:val="18"/>
          <w:szCs w:val="18"/>
        </w:rPr>
        <w:t>s level</w:t>
      </w:r>
      <w:r w:rsidRPr="00F956E1">
        <w:rPr>
          <w:rFonts w:ascii="Tw Cen MT" w:hAnsi="Tw Cen MT"/>
          <w:sz w:val="18"/>
          <w:szCs w:val="18"/>
        </w:rPr>
        <w:t xml:space="preserve"> at admission time before transfusion, 2 hours and 24 </w:t>
      </w:r>
      <w:r>
        <w:rPr>
          <w:rFonts w:ascii="Tw Cen MT" w:hAnsi="Tw Cen MT"/>
          <w:sz w:val="18"/>
          <w:szCs w:val="18"/>
        </w:rPr>
        <w:t xml:space="preserve">hours after blood transfusions. </w:t>
      </w:r>
      <w:r w:rsidRPr="00F956E1">
        <w:rPr>
          <w:rFonts w:ascii="Tw Cen MT" w:hAnsi="Tw Cen MT"/>
          <w:sz w:val="18"/>
          <w:szCs w:val="18"/>
        </w:rPr>
        <w:t>Inclusion criteria:</w:t>
      </w:r>
      <w:r>
        <w:rPr>
          <w:rFonts w:ascii="Tw Cen MT" w:hAnsi="Tw Cen MT"/>
          <w:sz w:val="18"/>
          <w:szCs w:val="18"/>
        </w:rPr>
        <w:t xml:space="preserve"> </w:t>
      </w:r>
      <w:r w:rsidRPr="00F956E1">
        <w:rPr>
          <w:rFonts w:ascii="Tw Cen MT" w:hAnsi="Tw Cen MT"/>
          <w:sz w:val="18"/>
          <w:szCs w:val="18"/>
        </w:rPr>
        <w:t>&gt;18 years old,</w:t>
      </w:r>
      <w:r>
        <w:rPr>
          <w:rFonts w:ascii="Tw Cen MT" w:hAnsi="Tw Cen MT"/>
          <w:sz w:val="18"/>
          <w:szCs w:val="18"/>
        </w:rPr>
        <w:t>Hb</w:t>
      </w:r>
      <w:r w:rsidRPr="00F956E1">
        <w:rPr>
          <w:rFonts w:ascii="Tw Cen MT" w:hAnsi="Tw Cen MT"/>
          <w:sz w:val="18"/>
          <w:szCs w:val="18"/>
        </w:rPr>
        <w:t>&lt; 9g/dl ,lactates&gt; 2,5 mmol/l. Exclusion criteria: APACHE</w:t>
      </w:r>
      <w:r>
        <w:rPr>
          <w:rFonts w:ascii="Tw Cen MT" w:hAnsi="Tw Cen MT"/>
          <w:sz w:val="18"/>
          <w:szCs w:val="18"/>
        </w:rPr>
        <w:t xml:space="preserve"> score II over 20, cardiac disease, </w:t>
      </w:r>
      <w:r w:rsidRPr="00F956E1">
        <w:rPr>
          <w:rFonts w:ascii="Tw Cen MT" w:hAnsi="Tw Cen MT"/>
          <w:sz w:val="18"/>
          <w:szCs w:val="18"/>
        </w:rPr>
        <w:t>and</w:t>
      </w:r>
      <w:r>
        <w:rPr>
          <w:rFonts w:ascii="Tw Cen MT" w:hAnsi="Tw Cen MT"/>
          <w:sz w:val="18"/>
          <w:szCs w:val="18"/>
        </w:rPr>
        <w:t xml:space="preserve"> </w:t>
      </w:r>
      <w:r w:rsidRPr="00F956E1">
        <w:rPr>
          <w:rFonts w:ascii="Tw Cen MT" w:hAnsi="Tw Cen MT"/>
          <w:sz w:val="18"/>
          <w:szCs w:val="18"/>
        </w:rPr>
        <w:t>trauma</w:t>
      </w:r>
      <w:r>
        <w:rPr>
          <w:rFonts w:ascii="Tw Cen MT" w:hAnsi="Tw Cen MT"/>
          <w:sz w:val="18"/>
          <w:szCs w:val="18"/>
        </w:rPr>
        <w:t xml:space="preserve"> </w:t>
      </w:r>
      <w:r w:rsidRPr="00F956E1">
        <w:rPr>
          <w:rFonts w:ascii="Tw Cen MT" w:hAnsi="Tw Cen MT"/>
          <w:sz w:val="18"/>
          <w:szCs w:val="18"/>
        </w:rPr>
        <w:t>patients.</w:t>
      </w:r>
      <w:r>
        <w:rPr>
          <w:rFonts w:ascii="Tw Cen MT" w:hAnsi="Tw Cen MT"/>
          <w:sz w:val="18"/>
          <w:szCs w:val="18"/>
        </w:rPr>
        <w:t xml:space="preserve"> </w:t>
      </w:r>
      <w:r w:rsidRPr="00F956E1">
        <w:rPr>
          <w:rFonts w:ascii="Tw Cen MT" w:hAnsi="Tw Cen MT"/>
          <w:sz w:val="18"/>
          <w:szCs w:val="18"/>
        </w:rPr>
        <w:t>No protocols were used for hemotransfusion trigger,</w:t>
      </w:r>
      <w:r>
        <w:rPr>
          <w:rFonts w:ascii="Tw Cen MT" w:hAnsi="Tw Cen MT"/>
          <w:sz w:val="18"/>
          <w:szCs w:val="18"/>
        </w:rPr>
        <w:t xml:space="preserve"> it </w:t>
      </w:r>
      <w:r w:rsidRPr="00F956E1">
        <w:rPr>
          <w:rFonts w:ascii="Tw Cen MT" w:hAnsi="Tw Cen MT"/>
          <w:sz w:val="18"/>
          <w:szCs w:val="18"/>
        </w:rPr>
        <w:t>was based on</w:t>
      </w:r>
      <w:r>
        <w:rPr>
          <w:rFonts w:ascii="Tw Cen MT" w:hAnsi="Tw Cen MT"/>
          <w:sz w:val="18"/>
          <w:szCs w:val="18"/>
        </w:rPr>
        <w:t xml:space="preserve"> the clinical</w:t>
      </w:r>
      <w:r w:rsidRPr="00F956E1">
        <w:rPr>
          <w:rFonts w:ascii="Tw Cen MT" w:hAnsi="Tw Cen MT"/>
          <w:sz w:val="18"/>
          <w:szCs w:val="18"/>
        </w:rPr>
        <w:t xml:space="preserve"> judgement.</w:t>
      </w:r>
      <w:r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</w:t>
      </w:r>
    </w:p>
    <w:p w:rsidR="00B81B97" w:rsidRDefault="00B81B97" w:rsidP="00B81B97">
      <w:pPr>
        <w:pStyle w:val="p"/>
        <w:shd w:val="clear" w:color="auto" w:fill="FFFFFF"/>
        <w:spacing w:before="0" w:beforeAutospacing="0" w:after="0" w:afterAutospacing="0"/>
        <w:jc w:val="both"/>
        <w:rPr>
          <w:rFonts w:ascii="Tw Cen MT" w:hAnsi="Tw Cen MT"/>
          <w:sz w:val="18"/>
          <w:szCs w:val="18"/>
        </w:rPr>
      </w:pPr>
      <w:r w:rsidRPr="00F956E1">
        <w:rPr>
          <w:rFonts w:ascii="Tw Cen MT" w:hAnsi="Tw Cen MT"/>
          <w:b/>
          <w:sz w:val="18"/>
          <w:szCs w:val="18"/>
        </w:rPr>
        <w:t xml:space="preserve">Results: </w:t>
      </w:r>
      <w:r w:rsidRPr="00F956E1">
        <w:rPr>
          <w:rFonts w:ascii="Tw Cen MT" w:hAnsi="Tw Cen MT"/>
          <w:sz w:val="18"/>
          <w:szCs w:val="18"/>
        </w:rPr>
        <w:t>In the</w:t>
      </w:r>
      <w:r>
        <w:rPr>
          <w:rFonts w:ascii="Tw Cen MT" w:hAnsi="Tw Cen MT"/>
          <w:sz w:val="18"/>
          <w:szCs w:val="18"/>
        </w:rPr>
        <w:t xml:space="preserve"> study, 60% were males and 40% </w:t>
      </w:r>
      <w:r w:rsidRPr="00F956E1">
        <w:rPr>
          <w:rFonts w:ascii="Tw Cen MT" w:hAnsi="Tw Cen MT"/>
          <w:sz w:val="18"/>
          <w:szCs w:val="18"/>
        </w:rPr>
        <w:t>females with mean age 49.83( ± 17.4)</w:t>
      </w:r>
      <w:r>
        <w:rPr>
          <w:rFonts w:ascii="Tw Cen MT" w:hAnsi="Tw Cen MT"/>
          <w:sz w:val="18"/>
          <w:szCs w:val="18"/>
        </w:rPr>
        <w:t xml:space="preserve"> </w:t>
      </w:r>
      <w:r w:rsidRPr="00F956E1">
        <w:rPr>
          <w:rFonts w:ascii="Tw Cen MT" w:hAnsi="Tw Cen MT"/>
          <w:sz w:val="18"/>
          <w:szCs w:val="18"/>
        </w:rPr>
        <w:t>, transfused with 1.97( ±0.78) units of packed red b</w:t>
      </w:r>
      <w:r>
        <w:rPr>
          <w:rFonts w:ascii="Tw Cen MT" w:hAnsi="Tw Cen MT"/>
          <w:sz w:val="18"/>
          <w:szCs w:val="18"/>
        </w:rPr>
        <w:t>lood cells.O</w:t>
      </w:r>
      <w:r w:rsidRPr="00F956E1">
        <w:rPr>
          <w:rFonts w:ascii="Tw Cen MT" w:hAnsi="Tw Cen MT"/>
          <w:sz w:val="18"/>
          <w:szCs w:val="18"/>
        </w:rPr>
        <w:t>n admission time</w:t>
      </w:r>
      <w:r>
        <w:rPr>
          <w:rFonts w:ascii="Tw Cen MT" w:hAnsi="Tw Cen MT"/>
          <w:sz w:val="18"/>
          <w:szCs w:val="18"/>
        </w:rPr>
        <w:t xml:space="preserve"> (before transfusion) </w:t>
      </w:r>
      <w:r w:rsidRPr="00F956E1">
        <w:rPr>
          <w:rFonts w:ascii="Tw Cen MT" w:hAnsi="Tw Cen MT"/>
          <w:sz w:val="18"/>
          <w:szCs w:val="18"/>
        </w:rPr>
        <w:t>2 hours and 24 hours after transfusion, the obtained results</w:t>
      </w:r>
      <w:r>
        <w:rPr>
          <w:rFonts w:ascii="Tw Cen MT" w:hAnsi="Tw Cen MT"/>
          <w:sz w:val="18"/>
          <w:szCs w:val="18"/>
        </w:rPr>
        <w:t xml:space="preserve"> showed these lactate values: pre-transfusion: 2.6±1.17,  2h post-transfusion:1.95±1.06(p=0.001) and </w:t>
      </w:r>
    </w:p>
    <w:p w:rsidR="00B81B97" w:rsidRPr="00F956E1" w:rsidRDefault="00B81B97" w:rsidP="00B81B97">
      <w:pPr>
        <w:pStyle w:val="p"/>
        <w:shd w:val="clear" w:color="auto" w:fill="FFFFFF"/>
        <w:spacing w:before="0" w:beforeAutospacing="0" w:after="0" w:afterAutospacing="0"/>
        <w:jc w:val="both"/>
        <w:rPr>
          <w:rFonts w:ascii="Tw Cen MT" w:hAnsi="Tw Cen MT"/>
          <w:sz w:val="18"/>
          <w:szCs w:val="18"/>
        </w:rPr>
      </w:pPr>
      <w:r>
        <w:rPr>
          <w:rFonts w:ascii="Tw Cen MT" w:hAnsi="Tw Cen MT"/>
          <w:sz w:val="18"/>
          <w:szCs w:val="18"/>
        </w:rPr>
        <w:t xml:space="preserve">24-h post-transfusion :1.35±0.08 (p=0.001). So, </w:t>
      </w:r>
      <w:r w:rsidRPr="00F956E1">
        <w:rPr>
          <w:rFonts w:ascii="Tw Cen MT" w:hAnsi="Tw Cen MT"/>
          <w:sz w:val="18"/>
          <w:szCs w:val="18"/>
        </w:rPr>
        <w:t>lactate levels</w:t>
      </w:r>
      <w:r>
        <w:rPr>
          <w:rFonts w:ascii="Tw Cen MT" w:hAnsi="Tw Cen MT"/>
          <w:sz w:val="18"/>
          <w:szCs w:val="18"/>
        </w:rPr>
        <w:t xml:space="preserve"> were significantly decreased at</w:t>
      </w:r>
      <w:r w:rsidRPr="00F956E1">
        <w:rPr>
          <w:rFonts w:ascii="Tw Cen MT" w:hAnsi="Tw Cen MT"/>
          <w:sz w:val="18"/>
          <w:szCs w:val="18"/>
        </w:rPr>
        <w:t xml:space="preserve"> first 2 hours after transfusion, meanwhile this decrease remained significant </w:t>
      </w:r>
      <w:r>
        <w:rPr>
          <w:rFonts w:ascii="Tw Cen MT" w:hAnsi="Tw Cen MT"/>
          <w:sz w:val="18"/>
          <w:szCs w:val="18"/>
        </w:rPr>
        <w:t>(at p&lt; 0,005)</w:t>
      </w:r>
      <w:r w:rsidRPr="00F956E1">
        <w:rPr>
          <w:rFonts w:ascii="Tw Cen MT" w:hAnsi="Tw Cen MT"/>
          <w:sz w:val="18"/>
          <w:szCs w:val="18"/>
        </w:rPr>
        <w:t>after 2 and till 24 hours after pa</w:t>
      </w:r>
      <w:r>
        <w:rPr>
          <w:rFonts w:ascii="Tw Cen MT" w:hAnsi="Tw Cen MT"/>
          <w:sz w:val="18"/>
          <w:szCs w:val="18"/>
        </w:rPr>
        <w:t>cked red blood cell transfusion.</w:t>
      </w:r>
    </w:p>
    <w:p w:rsidR="00B81B97" w:rsidRDefault="00B81B97" w:rsidP="00B81B97">
      <w:pPr>
        <w:pStyle w:val="p"/>
        <w:shd w:val="clear" w:color="auto" w:fill="FFFFFF"/>
        <w:spacing w:before="0" w:beforeAutospacing="0" w:after="0" w:afterAutospacing="0"/>
        <w:jc w:val="both"/>
        <w:rPr>
          <w:rFonts w:ascii="Tw Cen MT" w:hAnsi="Tw Cen MT"/>
          <w:sz w:val="18"/>
          <w:szCs w:val="18"/>
        </w:rPr>
      </w:pPr>
      <w:r w:rsidRPr="00F956E1">
        <w:rPr>
          <w:rFonts w:ascii="Tw Cen MT" w:hAnsi="Tw Cen MT"/>
          <w:b/>
          <w:sz w:val="18"/>
          <w:szCs w:val="18"/>
        </w:rPr>
        <w:t>Conclusions</w:t>
      </w:r>
      <w:r>
        <w:rPr>
          <w:rFonts w:ascii="Tw Cen MT" w:hAnsi="Tw Cen MT"/>
          <w:sz w:val="18"/>
          <w:szCs w:val="18"/>
        </w:rPr>
        <w:t xml:space="preserve"> L</w:t>
      </w:r>
      <w:r w:rsidRPr="00F956E1">
        <w:rPr>
          <w:rFonts w:ascii="Tw Cen MT" w:hAnsi="Tw Cen MT"/>
          <w:sz w:val="18"/>
          <w:szCs w:val="18"/>
        </w:rPr>
        <w:t>act</w:t>
      </w:r>
      <w:r>
        <w:rPr>
          <w:rFonts w:ascii="Tw Cen MT" w:hAnsi="Tw Cen MT"/>
          <w:sz w:val="18"/>
          <w:szCs w:val="18"/>
        </w:rPr>
        <w:t>ates are a good</w:t>
      </w:r>
      <w:r w:rsidRPr="00F956E1">
        <w:rPr>
          <w:rFonts w:ascii="Tw Cen MT" w:hAnsi="Tw Cen MT"/>
          <w:sz w:val="18"/>
          <w:szCs w:val="18"/>
        </w:rPr>
        <w:t xml:space="preserve"> </w:t>
      </w:r>
      <w:r>
        <w:rPr>
          <w:rFonts w:ascii="Tw Cen MT" w:hAnsi="Tw Cen MT"/>
          <w:sz w:val="18"/>
          <w:szCs w:val="18"/>
        </w:rPr>
        <w:t xml:space="preserve">prognostic </w:t>
      </w:r>
      <w:r w:rsidRPr="00F956E1">
        <w:rPr>
          <w:rFonts w:ascii="Tw Cen MT" w:hAnsi="Tw Cen MT"/>
          <w:sz w:val="18"/>
          <w:szCs w:val="18"/>
        </w:rPr>
        <w:t>indicator of tissue hypoxia</w:t>
      </w:r>
      <w:r>
        <w:rPr>
          <w:rFonts w:ascii="Tw Cen MT" w:hAnsi="Tw Cen MT"/>
          <w:sz w:val="18"/>
          <w:szCs w:val="18"/>
        </w:rPr>
        <w:t>,</w:t>
      </w:r>
      <w:r w:rsidRPr="00F956E1">
        <w:rPr>
          <w:rFonts w:ascii="Tw Cen MT" w:hAnsi="Tw Cen MT"/>
          <w:sz w:val="18"/>
          <w:szCs w:val="18"/>
        </w:rPr>
        <w:t xml:space="preserve"> </w:t>
      </w:r>
      <w:r>
        <w:rPr>
          <w:rFonts w:ascii="Tw Cen MT" w:hAnsi="Tw Cen MT"/>
          <w:sz w:val="18"/>
          <w:szCs w:val="18"/>
        </w:rPr>
        <w:t xml:space="preserve">so that the evaluation and screening of them is very important for transfusion decision making also 24 hours after admission time. </w:t>
      </w:r>
      <w:r w:rsidRPr="00F956E1">
        <w:rPr>
          <w:rFonts w:ascii="Tw Cen MT" w:hAnsi="Tw Cen MT"/>
          <w:sz w:val="18"/>
          <w:szCs w:val="18"/>
        </w:rPr>
        <w:t xml:space="preserve"> </w:t>
      </w:r>
    </w:p>
    <w:p w:rsidR="00B81B97" w:rsidRPr="00F956E1" w:rsidRDefault="00B81B97" w:rsidP="00B81B97">
      <w:pPr>
        <w:pStyle w:val="p"/>
        <w:shd w:val="clear" w:color="auto" w:fill="FFFFFF"/>
        <w:spacing w:before="0" w:beforeAutospacing="0" w:after="166" w:afterAutospacing="0"/>
        <w:jc w:val="both"/>
        <w:rPr>
          <w:rFonts w:ascii="Tw Cen MT" w:hAnsi="Tw Cen MT"/>
          <w:b/>
          <w:sz w:val="18"/>
          <w:szCs w:val="18"/>
        </w:rPr>
      </w:pPr>
      <w:r w:rsidRPr="00F956E1">
        <w:rPr>
          <w:rFonts w:ascii="Tw Cen MT" w:hAnsi="Tw Cen MT"/>
          <w:b/>
          <w:sz w:val="18"/>
          <w:szCs w:val="18"/>
        </w:rPr>
        <w:t>Keywords:</w:t>
      </w:r>
      <w:r w:rsidRPr="00886D1E">
        <w:rPr>
          <w:rFonts w:ascii="Tw Cen MT" w:hAnsi="Tw Cen MT"/>
          <w:sz w:val="18"/>
          <w:szCs w:val="18"/>
        </w:rPr>
        <w:t>blood tra</w:t>
      </w:r>
      <w:r>
        <w:rPr>
          <w:rFonts w:ascii="Tw Cen MT" w:hAnsi="Tw Cen MT"/>
          <w:sz w:val="18"/>
          <w:szCs w:val="18"/>
        </w:rPr>
        <w:t>nsfusion,</w:t>
      </w:r>
      <w:r w:rsidRPr="00886D1E">
        <w:rPr>
          <w:rFonts w:ascii="Tw Cen MT" w:hAnsi="Tw Cen MT"/>
          <w:sz w:val="18"/>
          <w:szCs w:val="18"/>
        </w:rPr>
        <w:t xml:space="preserve"> lactates</w:t>
      </w:r>
      <w:r>
        <w:rPr>
          <w:rFonts w:ascii="Tw Cen MT" w:hAnsi="Tw Cen MT"/>
          <w:sz w:val="18"/>
          <w:szCs w:val="18"/>
        </w:rPr>
        <w:t>,prognostic indicator</w:t>
      </w:r>
    </w:p>
    <w:p w:rsidR="0071759E" w:rsidRDefault="0071759E" w:rsidP="00B24A71">
      <w:pPr>
        <w:pStyle w:val="Heading3"/>
        <w:spacing w:before="74"/>
        <w:ind w:left="0"/>
      </w:pPr>
      <w:r>
        <w:rPr>
          <w:b w:val="0"/>
        </w:rPr>
        <w:br w:type="column"/>
      </w:r>
    </w:p>
    <w:p w:rsidR="0071759E" w:rsidRPr="00B24A71" w:rsidRDefault="00B24A71" w:rsidP="00B24A71">
      <w:pPr>
        <w:pStyle w:val="BodyText"/>
        <w:spacing w:before="2"/>
        <w:rPr>
          <w:rFonts w:ascii="Arial"/>
          <w:b/>
          <w:sz w:val="16"/>
        </w:rPr>
      </w:pPr>
      <w:r w:rsidRPr="00B24A71">
        <w:rPr>
          <w:rFonts w:ascii="Arial"/>
          <w:b/>
          <w:noProof/>
          <w:sz w:val="16"/>
        </w:rPr>
        <w:drawing>
          <wp:inline distT="0" distB="0" distL="0" distR="0">
            <wp:extent cx="3000375" cy="1438275"/>
            <wp:effectExtent l="19050" t="0" r="9525" b="0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008" cy="1437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C92" w:rsidRPr="00CE6DAB" w:rsidRDefault="009E7C92" w:rsidP="009E7C92">
      <w:pPr>
        <w:pStyle w:val="Heading1"/>
        <w:shd w:val="clear" w:color="auto" w:fill="FFFFFF"/>
        <w:spacing w:before="0" w:line="240" w:lineRule="auto"/>
        <w:ind w:left="0"/>
        <w:rPr>
          <w:rFonts w:asciiTheme="minorHAnsi" w:eastAsia="Times New Roman" w:hAnsiTheme="minorHAnsi" w:cs="Times New Roman"/>
          <w:b w:val="0"/>
          <w:sz w:val="18"/>
          <w:szCs w:val="18"/>
        </w:rPr>
      </w:pPr>
      <w:r w:rsidRPr="006D5249">
        <w:rPr>
          <w:rFonts w:asciiTheme="minorHAnsi" w:hAnsiTheme="minorHAnsi" w:cs="Times New Roman"/>
          <w:b w:val="0"/>
          <w:sz w:val="18"/>
          <w:szCs w:val="18"/>
        </w:rPr>
        <w:t xml:space="preserve">1. </w:t>
      </w:r>
      <w:hyperlink r:id="rId10" w:history="1">
        <w:r w:rsidRPr="00CE6DAB">
          <w:rPr>
            <w:rFonts w:asciiTheme="minorHAnsi" w:eastAsia="Times New Roman" w:hAnsiTheme="minorHAnsi" w:cs="Times New Roman"/>
            <w:b w:val="0"/>
            <w:sz w:val="18"/>
            <w:szCs w:val="18"/>
          </w:rPr>
          <w:t>Vink</w:t>
        </w:r>
      </w:hyperlink>
      <w:r w:rsidRPr="00CE6DAB">
        <w:rPr>
          <w:rFonts w:asciiTheme="minorHAnsi" w:eastAsia="Times New Roman" w:hAnsiTheme="minorHAnsi" w:cs="Times New Roman"/>
          <w:b w:val="0"/>
          <w:sz w:val="18"/>
          <w:szCs w:val="18"/>
        </w:rPr>
        <w:t> EE , </w:t>
      </w:r>
      <w:hyperlink r:id="rId11" w:history="1">
        <w:r w:rsidRPr="00CE6DAB">
          <w:rPr>
            <w:rFonts w:asciiTheme="minorHAnsi" w:eastAsia="Times New Roman" w:hAnsiTheme="minorHAnsi" w:cs="Times New Roman"/>
            <w:b w:val="0"/>
            <w:sz w:val="18"/>
            <w:szCs w:val="18"/>
          </w:rPr>
          <w:t>Bakker</w:t>
        </w:r>
      </w:hyperlink>
      <w:r w:rsidRPr="00CE6DAB">
        <w:rPr>
          <w:rFonts w:asciiTheme="minorHAnsi" w:eastAsia="Times New Roman" w:hAnsiTheme="minorHAnsi" w:cs="Times New Roman"/>
          <w:b w:val="0"/>
          <w:sz w:val="18"/>
          <w:szCs w:val="18"/>
        </w:rPr>
        <w:t xml:space="preserve"> J (</w:t>
      </w:r>
      <w:r w:rsidRPr="00CE6DAB">
        <w:rPr>
          <w:rFonts w:asciiTheme="minorHAnsi" w:hAnsiTheme="minorHAnsi"/>
          <w:b w:val="0"/>
          <w:sz w:val="18"/>
          <w:szCs w:val="18"/>
        </w:rPr>
        <w:t>201</w:t>
      </w:r>
      <w:r w:rsidRPr="00CE6DAB">
        <w:rPr>
          <w:rFonts w:asciiTheme="minorHAnsi" w:eastAsia="Times New Roman" w:hAnsiTheme="minorHAnsi" w:cs="Times New Roman"/>
          <w:b w:val="0"/>
          <w:sz w:val="18"/>
          <w:szCs w:val="18"/>
        </w:rPr>
        <w:t>8)</w:t>
      </w:r>
      <w:r w:rsidRPr="00CE6DAB">
        <w:rPr>
          <w:rFonts w:asciiTheme="minorHAnsi" w:hAnsiTheme="minorHAnsi" w:cs="Times New Roman"/>
          <w:b w:val="0"/>
          <w:sz w:val="18"/>
          <w:szCs w:val="18"/>
        </w:rPr>
        <w:t xml:space="preserve"> Practical Use of Lactate Levels in the Intensive Care</w:t>
      </w:r>
      <w:r w:rsidRPr="00CE6DAB">
        <w:rPr>
          <w:rFonts w:asciiTheme="minorHAnsi" w:hAnsiTheme="minorHAnsi"/>
          <w:b w:val="0"/>
          <w:sz w:val="18"/>
          <w:szCs w:val="18"/>
        </w:rPr>
        <w:t xml:space="preserve"> </w:t>
      </w:r>
      <w:hyperlink r:id="rId12" w:tooltip="Journal of intensive care medicine." w:history="1">
        <w:r w:rsidRPr="00CE6DAB">
          <w:rPr>
            <w:rStyle w:val="Hyperlink"/>
            <w:rFonts w:asciiTheme="minorHAnsi" w:hAnsiTheme="minorHAnsi" w:cs="Arial"/>
            <w:b w:val="0"/>
            <w:color w:val="auto"/>
            <w:sz w:val="18"/>
            <w:szCs w:val="18"/>
            <w:u w:val="none"/>
            <w:shd w:val="clear" w:color="auto" w:fill="FFFFFF"/>
          </w:rPr>
          <w:t>J Intensive Care Med.</w:t>
        </w:r>
      </w:hyperlink>
      <w:r w:rsidRPr="00CE6DAB">
        <w:rPr>
          <w:rFonts w:asciiTheme="minorHAnsi" w:hAnsiTheme="minorHAnsi" w:cs="Arial"/>
          <w:b w:val="0"/>
          <w:sz w:val="18"/>
          <w:szCs w:val="18"/>
          <w:shd w:val="clear" w:color="auto" w:fill="FFFFFF"/>
        </w:rPr>
        <w:t>33(3):159-165</w:t>
      </w:r>
    </w:p>
    <w:p w:rsidR="009E7C92" w:rsidRDefault="009E7C92" w:rsidP="009E7C92">
      <w:pPr>
        <w:shd w:val="clear" w:color="auto" w:fill="FFFFFF"/>
        <w:textAlignment w:val="top"/>
        <w:rPr>
          <w:rFonts w:asciiTheme="minorHAnsi" w:eastAsia="Times New Roman" w:hAnsiTheme="minorHAnsi" w:cs="Times New Roman"/>
          <w:sz w:val="18"/>
          <w:szCs w:val="18"/>
        </w:rPr>
      </w:pPr>
    </w:p>
    <w:p w:rsidR="009E7C92" w:rsidRPr="00CE6DAB" w:rsidRDefault="009E7C92" w:rsidP="009E7C92">
      <w:pPr>
        <w:shd w:val="clear" w:color="auto" w:fill="FFFFFF"/>
        <w:textAlignment w:val="top"/>
        <w:rPr>
          <w:rFonts w:asciiTheme="minorHAnsi" w:eastAsia="Times New Roman" w:hAnsiTheme="minorHAnsi" w:cs="Times New Roman"/>
          <w:sz w:val="18"/>
          <w:szCs w:val="18"/>
        </w:rPr>
      </w:pPr>
      <w:r w:rsidRPr="006D5249">
        <w:rPr>
          <w:rFonts w:asciiTheme="minorHAnsi" w:eastAsia="Times New Roman" w:hAnsiTheme="minorHAnsi" w:cs="Times New Roman"/>
          <w:sz w:val="18"/>
          <w:szCs w:val="18"/>
        </w:rPr>
        <w:t>2.</w:t>
      </w:r>
      <w:r w:rsidRPr="006D5249">
        <w:rPr>
          <w:rStyle w:val="Heading3Char"/>
          <w:rFonts w:asciiTheme="minorHAnsi" w:hAnsiTheme="minorHAnsi" w:cs="Times New Roman"/>
          <w:b w:val="0"/>
          <w:sz w:val="18"/>
          <w:szCs w:val="18"/>
        </w:rPr>
        <w:t xml:space="preserve"> </w:t>
      </w:r>
      <w:hyperlink r:id="rId13" w:history="1">
        <w:r w:rsidRPr="00CE6DAB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  <w:shd w:val="clear" w:color="auto" w:fill="FFFFFF"/>
          </w:rPr>
          <w:t>Jansen TC</w:t>
        </w:r>
      </w:hyperlink>
      <w:r w:rsidRPr="00CE6DAB">
        <w:rPr>
          <w:rFonts w:asciiTheme="minorHAnsi" w:hAnsiTheme="minorHAnsi" w:cs="Arial"/>
          <w:sz w:val="18"/>
          <w:szCs w:val="18"/>
          <w:shd w:val="clear" w:color="auto" w:fill="FFFFFF"/>
        </w:rPr>
        <w:t>, </w:t>
      </w:r>
      <w:hyperlink r:id="rId14" w:history="1">
        <w:r w:rsidRPr="00CE6DAB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  <w:shd w:val="clear" w:color="auto" w:fill="FFFFFF"/>
          </w:rPr>
          <w:t>van Bommel J</w:t>
        </w:r>
      </w:hyperlink>
      <w:r w:rsidRPr="00CE6DAB">
        <w:rPr>
          <w:rFonts w:asciiTheme="minorHAnsi" w:hAnsiTheme="minorHAnsi" w:cs="Arial"/>
          <w:sz w:val="18"/>
          <w:szCs w:val="18"/>
          <w:shd w:val="clear" w:color="auto" w:fill="FFFFFF"/>
        </w:rPr>
        <w:t>, </w:t>
      </w:r>
      <w:hyperlink r:id="rId15" w:history="1">
        <w:r w:rsidRPr="00CE6DAB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  <w:shd w:val="clear" w:color="auto" w:fill="FFFFFF"/>
          </w:rPr>
          <w:t>Mulder PG</w:t>
        </w:r>
      </w:hyperlink>
      <w:r w:rsidRPr="00CE6DAB">
        <w:rPr>
          <w:rFonts w:asciiTheme="minorHAnsi" w:hAnsiTheme="minorHAnsi" w:cs="Arial"/>
          <w:sz w:val="18"/>
          <w:szCs w:val="18"/>
          <w:shd w:val="clear" w:color="auto" w:fill="FFFFFF"/>
        </w:rPr>
        <w:t>, </w:t>
      </w:r>
      <w:hyperlink r:id="rId16" w:history="1">
        <w:r w:rsidRPr="00CE6DAB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  <w:shd w:val="clear" w:color="auto" w:fill="FFFFFF"/>
          </w:rPr>
          <w:t>Rommes JH</w:t>
        </w:r>
      </w:hyperlink>
      <w:r w:rsidRPr="00CE6DAB">
        <w:rPr>
          <w:rFonts w:asciiTheme="minorHAnsi" w:hAnsiTheme="minorHAnsi" w:cs="Arial"/>
          <w:sz w:val="18"/>
          <w:szCs w:val="18"/>
          <w:shd w:val="clear" w:color="auto" w:fill="FFFFFF"/>
        </w:rPr>
        <w:t>, </w:t>
      </w:r>
      <w:hyperlink r:id="rId17" w:history="1">
        <w:r w:rsidRPr="00CE6DAB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  <w:shd w:val="clear" w:color="auto" w:fill="FFFFFF"/>
          </w:rPr>
          <w:t>Schieveld SJ</w:t>
        </w:r>
      </w:hyperlink>
      <w:r w:rsidRPr="00CE6DAB">
        <w:rPr>
          <w:rFonts w:asciiTheme="minorHAnsi" w:hAnsiTheme="minorHAnsi" w:cs="Arial"/>
          <w:sz w:val="18"/>
          <w:szCs w:val="18"/>
          <w:shd w:val="clear" w:color="auto" w:fill="FFFFFF"/>
        </w:rPr>
        <w:t>, </w:t>
      </w:r>
      <w:hyperlink r:id="rId18" w:history="1">
        <w:r w:rsidRPr="00CE6DAB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  <w:shd w:val="clear" w:color="auto" w:fill="FFFFFF"/>
          </w:rPr>
          <w:t>Bakker J</w:t>
        </w:r>
      </w:hyperlink>
      <w:r w:rsidRPr="00CE6DAB">
        <w:rPr>
          <w:rFonts w:asciiTheme="minorHAnsi" w:hAnsiTheme="minorHAnsi" w:cs="Arial"/>
          <w:sz w:val="18"/>
          <w:szCs w:val="18"/>
          <w:shd w:val="clear" w:color="auto" w:fill="FFFFFF"/>
        </w:rPr>
        <w:t>.</w:t>
      </w:r>
      <w:r w:rsidRPr="00CE6DAB">
        <w:rPr>
          <w:rFonts w:asciiTheme="minorHAnsi" w:eastAsia="Times New Roman" w:hAnsiTheme="minorHAnsi" w:cs="Times New Roman"/>
          <w:sz w:val="18"/>
          <w:szCs w:val="18"/>
        </w:rPr>
        <w:t xml:space="preserve"> (2008)</w:t>
      </w:r>
      <w:r w:rsidRPr="00CE6DAB">
        <w:rPr>
          <w:rFonts w:asciiTheme="minorHAnsi" w:eastAsia="Times New Roman" w:hAnsiTheme="minorHAnsi" w:cs="Times New Roman"/>
          <w:kern w:val="36"/>
          <w:sz w:val="18"/>
          <w:szCs w:val="18"/>
        </w:rPr>
        <w:t xml:space="preserve"> </w:t>
      </w:r>
      <w:r w:rsidRPr="00AD0B3F">
        <w:rPr>
          <w:rFonts w:asciiTheme="minorHAnsi" w:eastAsia="Times New Roman" w:hAnsiTheme="minorHAnsi" w:cs="Times New Roman"/>
          <w:kern w:val="36"/>
          <w:sz w:val="18"/>
          <w:szCs w:val="18"/>
        </w:rPr>
        <w:t>The prognostic value of blood lactate levels relative to that of vital signs in the pre-hospital setting: a pilot study</w:t>
      </w:r>
      <w:hyperlink r:id="rId19" w:tooltip="Critical care (London, England)." w:history="1">
        <w:r w:rsidRPr="00CE6DAB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  <w:shd w:val="clear" w:color="auto" w:fill="FFFFFF"/>
          </w:rPr>
          <w:t>Crit Care.</w:t>
        </w:r>
      </w:hyperlink>
      <w:r w:rsidRPr="00CE6DAB">
        <w:rPr>
          <w:rFonts w:asciiTheme="minorHAnsi" w:hAnsiTheme="minorHAnsi" w:cs="Arial"/>
          <w:sz w:val="18"/>
          <w:szCs w:val="18"/>
          <w:shd w:val="clear" w:color="auto" w:fill="FFFFFF"/>
        </w:rPr>
        <w:t>12(6):R160</w:t>
      </w:r>
    </w:p>
    <w:p w:rsidR="009E7C92" w:rsidRDefault="009E7C92" w:rsidP="009E7C92">
      <w:pPr>
        <w:shd w:val="clear" w:color="auto" w:fill="FFFFFF"/>
        <w:textAlignment w:val="top"/>
        <w:rPr>
          <w:rFonts w:asciiTheme="minorHAnsi" w:eastAsia="Times New Roman" w:hAnsiTheme="minorHAnsi" w:cs="Times New Roman"/>
          <w:sz w:val="18"/>
          <w:szCs w:val="18"/>
        </w:rPr>
      </w:pPr>
    </w:p>
    <w:p w:rsidR="009E7C92" w:rsidRPr="00B24A71" w:rsidRDefault="009E7C92" w:rsidP="009E7C92">
      <w:pPr>
        <w:shd w:val="clear" w:color="auto" w:fill="FFFFFF"/>
        <w:textAlignment w:val="top"/>
        <w:rPr>
          <w:rFonts w:eastAsia="Times New Roman" w:cs="Times New Roman"/>
          <w:sz w:val="18"/>
          <w:szCs w:val="18"/>
        </w:rPr>
      </w:pPr>
      <w:r w:rsidRPr="006D5249">
        <w:rPr>
          <w:rFonts w:asciiTheme="minorHAnsi" w:eastAsia="Times New Roman" w:hAnsiTheme="minorHAnsi" w:cs="Times New Roman"/>
          <w:sz w:val="18"/>
          <w:szCs w:val="18"/>
        </w:rPr>
        <w:t xml:space="preserve">3. </w:t>
      </w:r>
      <w:hyperlink r:id="rId20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St John AE</w:t>
        </w:r>
      </w:hyperlink>
      <w:r w:rsidRPr="006D5249">
        <w:rPr>
          <w:rFonts w:asciiTheme="minorHAnsi" w:eastAsia="Times New Roman" w:hAnsiTheme="minorHAnsi" w:cs="Times New Roman"/>
          <w:sz w:val="18"/>
          <w:szCs w:val="18"/>
        </w:rPr>
        <w:t>, </w:t>
      </w:r>
      <w:hyperlink r:id="rId21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McCoy AM</w:t>
        </w:r>
      </w:hyperlink>
      <w:r w:rsidRPr="006D5249">
        <w:rPr>
          <w:rFonts w:asciiTheme="minorHAnsi" w:eastAsia="Times New Roman" w:hAnsiTheme="minorHAnsi" w:cs="Times New Roman"/>
          <w:sz w:val="18"/>
          <w:szCs w:val="18"/>
        </w:rPr>
        <w:t>, </w:t>
      </w:r>
      <w:hyperlink r:id="rId22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Moyes AG</w:t>
        </w:r>
      </w:hyperlink>
      <w:r w:rsidRPr="006D5249">
        <w:rPr>
          <w:rFonts w:asciiTheme="minorHAnsi" w:eastAsia="Times New Roman" w:hAnsiTheme="minorHAnsi" w:cs="Times New Roman"/>
          <w:sz w:val="18"/>
          <w:szCs w:val="18"/>
        </w:rPr>
        <w:t>, </w:t>
      </w:r>
      <w:hyperlink r:id="rId23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Guyette FX</w:t>
        </w:r>
      </w:hyperlink>
      <w:r w:rsidRPr="006D5249">
        <w:rPr>
          <w:rFonts w:asciiTheme="minorHAnsi" w:eastAsia="Times New Roman" w:hAnsiTheme="minorHAnsi" w:cs="Times New Roman"/>
          <w:sz w:val="18"/>
          <w:szCs w:val="18"/>
        </w:rPr>
        <w:t>, </w:t>
      </w:r>
      <w:hyperlink r:id="rId24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Bulger EM</w:t>
        </w:r>
      </w:hyperlink>
      <w:r w:rsidRPr="006D5249">
        <w:rPr>
          <w:rFonts w:asciiTheme="minorHAnsi" w:eastAsia="Times New Roman" w:hAnsiTheme="minorHAnsi" w:cs="Times New Roman"/>
          <w:sz w:val="18"/>
          <w:szCs w:val="18"/>
        </w:rPr>
        <w:t>, </w:t>
      </w:r>
      <w:hyperlink r:id="rId25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Sayre MR</w:t>
        </w:r>
      </w:hyperlink>
      <w:r w:rsidRPr="006D5249">
        <w:rPr>
          <w:rFonts w:asciiTheme="minorHAnsi" w:eastAsia="Times New Roman" w:hAnsiTheme="minorHAnsi" w:cs="Times New Roman"/>
          <w:bCs/>
          <w:kern w:val="36"/>
          <w:sz w:val="18"/>
          <w:szCs w:val="18"/>
        </w:rPr>
        <w:t xml:space="preserve"> (2018)Prehospital Lactate Predicts Need for Resuscitative Care in Non-hypotensive Trauma Patients</w:t>
      </w:r>
      <w:r>
        <w:rPr>
          <w:rFonts w:eastAsia="Times New Roman" w:cs="Times New Roman"/>
          <w:bCs/>
          <w:kern w:val="36"/>
          <w:sz w:val="18"/>
          <w:szCs w:val="18"/>
        </w:rPr>
        <w:t xml:space="preserve"> </w:t>
      </w:r>
      <w:hyperlink r:id="rId26" w:tooltip="The western journal of emergency medicine.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West J Emerg Med.</w:t>
        </w:r>
      </w:hyperlink>
      <w:r>
        <w:rPr>
          <w:rFonts w:eastAsia="Times New Roman" w:cs="Times New Roman"/>
          <w:sz w:val="18"/>
          <w:szCs w:val="18"/>
        </w:rPr>
        <w:t> </w:t>
      </w:r>
      <w:r w:rsidRPr="006D5249">
        <w:rPr>
          <w:rFonts w:asciiTheme="minorHAnsi" w:eastAsia="Times New Roman" w:hAnsiTheme="minorHAnsi" w:cs="Times New Roman"/>
          <w:sz w:val="18"/>
          <w:szCs w:val="18"/>
        </w:rPr>
        <w:t>19(2):224-231</w:t>
      </w:r>
    </w:p>
    <w:p w:rsidR="009E7C92" w:rsidRDefault="009E7C92" w:rsidP="009E7C92">
      <w:pPr>
        <w:shd w:val="clear" w:color="auto" w:fill="FFFFFF"/>
        <w:textAlignment w:val="top"/>
        <w:rPr>
          <w:rFonts w:asciiTheme="minorHAnsi" w:eastAsia="Times New Roman" w:hAnsiTheme="minorHAnsi" w:cs="Times New Roman"/>
          <w:sz w:val="18"/>
          <w:szCs w:val="18"/>
        </w:rPr>
      </w:pPr>
      <w:r w:rsidRPr="006D5249">
        <w:rPr>
          <w:rFonts w:asciiTheme="minorHAnsi" w:hAnsiTheme="minorHAnsi" w:cs="Times New Roman"/>
          <w:sz w:val="18"/>
          <w:szCs w:val="18"/>
        </w:rPr>
        <w:t>4.</w:t>
      </w:r>
      <w:r w:rsidRPr="00CE6DAB">
        <w:t xml:space="preserve"> </w:t>
      </w:r>
      <w:hyperlink r:id="rId27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Bou Chebl R</w:t>
        </w:r>
      </w:hyperlink>
      <w:r w:rsidRPr="006D5249">
        <w:rPr>
          <w:rFonts w:asciiTheme="minorHAnsi" w:eastAsia="Times New Roman" w:hAnsiTheme="minorHAnsi" w:cs="Times New Roman"/>
          <w:sz w:val="18"/>
          <w:szCs w:val="18"/>
          <w:vertAlign w:val="superscript"/>
        </w:rPr>
        <w:t xml:space="preserve"> </w:t>
      </w:r>
      <w:r w:rsidRPr="004E0039">
        <w:rPr>
          <w:rFonts w:asciiTheme="minorHAnsi" w:eastAsia="Times New Roman" w:hAnsiTheme="minorHAnsi" w:cs="Times New Roman"/>
          <w:sz w:val="18"/>
          <w:szCs w:val="18"/>
        </w:rPr>
        <w:t>, </w:t>
      </w:r>
      <w:hyperlink r:id="rId28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El Khuri C</w:t>
        </w:r>
      </w:hyperlink>
      <w:r w:rsidRPr="004E0039">
        <w:rPr>
          <w:rFonts w:asciiTheme="minorHAnsi" w:eastAsia="Times New Roman" w:hAnsiTheme="minorHAnsi" w:cs="Times New Roman"/>
          <w:sz w:val="18"/>
          <w:szCs w:val="18"/>
        </w:rPr>
        <w:t>, </w:t>
      </w:r>
      <w:hyperlink r:id="rId29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Shami A</w:t>
        </w:r>
      </w:hyperlink>
      <w:r w:rsidRPr="004E0039">
        <w:rPr>
          <w:rFonts w:asciiTheme="minorHAnsi" w:eastAsia="Times New Roman" w:hAnsiTheme="minorHAnsi" w:cs="Times New Roman"/>
          <w:sz w:val="18"/>
          <w:szCs w:val="18"/>
        </w:rPr>
        <w:t>, </w:t>
      </w:r>
      <w:hyperlink r:id="rId30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Rajha E</w:t>
        </w:r>
      </w:hyperlink>
      <w:r w:rsidRPr="004E0039">
        <w:rPr>
          <w:rFonts w:asciiTheme="minorHAnsi" w:eastAsia="Times New Roman" w:hAnsiTheme="minorHAnsi" w:cs="Times New Roman"/>
          <w:sz w:val="18"/>
          <w:szCs w:val="18"/>
        </w:rPr>
        <w:t>, </w:t>
      </w:r>
      <w:hyperlink r:id="rId31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Faris N</w:t>
        </w:r>
      </w:hyperlink>
      <w:r w:rsidRPr="004E0039">
        <w:rPr>
          <w:rFonts w:asciiTheme="minorHAnsi" w:eastAsia="Times New Roman" w:hAnsiTheme="minorHAnsi" w:cs="Times New Roman"/>
          <w:sz w:val="18"/>
          <w:szCs w:val="18"/>
        </w:rPr>
        <w:t>, </w:t>
      </w:r>
      <w:hyperlink r:id="rId32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Bachir R</w:t>
        </w:r>
      </w:hyperlink>
      <w:r w:rsidRPr="004E0039">
        <w:rPr>
          <w:rFonts w:asciiTheme="minorHAnsi" w:eastAsia="Times New Roman" w:hAnsiTheme="minorHAnsi" w:cs="Times New Roman"/>
          <w:sz w:val="18"/>
          <w:szCs w:val="18"/>
        </w:rPr>
        <w:t>, </w:t>
      </w:r>
      <w:hyperlink r:id="rId33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Abou Dagher G</w:t>
        </w:r>
      </w:hyperlink>
      <w:r w:rsidRPr="004E0039">
        <w:rPr>
          <w:rFonts w:asciiTheme="minorHAnsi" w:eastAsia="Times New Roman" w:hAnsiTheme="minorHAnsi" w:cs="Times New Roman"/>
          <w:sz w:val="18"/>
          <w:szCs w:val="18"/>
        </w:rPr>
        <w:t>.</w:t>
      </w:r>
      <w:r w:rsidRPr="006D5249">
        <w:rPr>
          <w:rFonts w:asciiTheme="minorHAnsi" w:eastAsia="Times New Roman" w:hAnsiTheme="minorHAnsi" w:cs="Times New Roman"/>
          <w:bCs/>
          <w:kern w:val="36"/>
          <w:sz w:val="18"/>
          <w:szCs w:val="18"/>
        </w:rPr>
        <w:t xml:space="preserve"> (2017)</w:t>
      </w:r>
      <w:r w:rsidRPr="004E0039">
        <w:rPr>
          <w:rFonts w:asciiTheme="minorHAnsi" w:eastAsia="Times New Roman" w:hAnsiTheme="minorHAnsi" w:cs="Times New Roman"/>
          <w:bCs/>
          <w:kern w:val="36"/>
          <w:sz w:val="18"/>
          <w:szCs w:val="18"/>
        </w:rPr>
        <w:t>Serum lactate is an independent predictor of hospital mortality in critically ill patients in the emergency department: a retrospective study</w:t>
      </w:r>
      <w:r>
        <w:rPr>
          <w:rFonts w:eastAsia="Times New Roman" w:cs="Times New Roman"/>
          <w:bCs/>
          <w:kern w:val="36"/>
          <w:sz w:val="18"/>
          <w:szCs w:val="18"/>
        </w:rPr>
        <w:t xml:space="preserve"> </w:t>
      </w:r>
      <w:hyperlink r:id="rId34" w:tooltip="Scandinavian journal of trauma, resuscitation and emergency medicine." w:history="1">
        <w:r w:rsidRPr="006D5249">
          <w:rPr>
            <w:rFonts w:asciiTheme="minorHAnsi" w:eastAsia="Times New Roman" w:hAnsiTheme="minorHAnsi" w:cs="Times New Roman"/>
            <w:sz w:val="18"/>
            <w:szCs w:val="18"/>
          </w:rPr>
          <w:t>Scand J Trauma Resusc Emerg Med.</w:t>
        </w:r>
      </w:hyperlink>
      <w:r>
        <w:rPr>
          <w:rFonts w:eastAsia="Times New Roman" w:cs="Times New Roman"/>
          <w:sz w:val="18"/>
          <w:szCs w:val="18"/>
        </w:rPr>
        <w:t> </w:t>
      </w:r>
      <w:r w:rsidRPr="006D5249">
        <w:rPr>
          <w:rFonts w:asciiTheme="minorHAnsi" w:eastAsia="Times New Roman" w:hAnsiTheme="minorHAnsi" w:cs="Times New Roman"/>
          <w:sz w:val="18"/>
          <w:szCs w:val="18"/>
        </w:rPr>
        <w:t>25(1):69.</w:t>
      </w:r>
    </w:p>
    <w:p w:rsidR="00B24A71" w:rsidRDefault="00925CF9" w:rsidP="009E7C92">
      <w:pPr>
        <w:shd w:val="clear" w:color="auto" w:fill="FFFFFF"/>
        <w:textAlignment w:val="top"/>
        <w:rPr>
          <w:rFonts w:asciiTheme="minorHAnsi" w:eastAsia="Times New Roman" w:hAnsiTheme="minorHAnsi" w:cs="Times New Roman"/>
          <w:sz w:val="18"/>
          <w:szCs w:val="18"/>
        </w:rPr>
      </w:pPr>
      <w:r>
        <w:rPr>
          <w:rFonts w:asciiTheme="minorHAnsi" w:eastAsia="Times New Roman" w:hAnsiTheme="minorHAnsi" w:cs="Times New Roman"/>
          <w:sz w:val="18"/>
          <w:szCs w:val="18"/>
        </w:rPr>
        <w:t xml:space="preserve">5.  Nake </w:t>
      </w:r>
      <w:r w:rsidR="00FC7C24">
        <w:rPr>
          <w:rFonts w:asciiTheme="minorHAnsi" w:eastAsia="Times New Roman" w:hAnsiTheme="minorHAnsi" w:cs="Times New Roman"/>
          <w:sz w:val="18"/>
          <w:szCs w:val="18"/>
        </w:rPr>
        <w:t xml:space="preserve"> </w:t>
      </w:r>
      <w:r w:rsidR="00B24A71">
        <w:rPr>
          <w:rFonts w:asciiTheme="minorHAnsi" w:eastAsia="Times New Roman" w:hAnsiTheme="minorHAnsi" w:cs="Times New Roman"/>
          <w:sz w:val="18"/>
          <w:szCs w:val="18"/>
        </w:rPr>
        <w:t>A(2018)Laboratory, society, trauma”vectors”(consequences), parts of non-euclidean triangles, ijees 8(4): 791-794.</w:t>
      </w:r>
    </w:p>
    <w:p w:rsidR="009E7C92" w:rsidRPr="004D4CF5" w:rsidRDefault="00B24A71" w:rsidP="009E7C92">
      <w:pPr>
        <w:shd w:val="clear" w:color="auto" w:fill="FFFFFF"/>
        <w:textAlignment w:val="top"/>
        <w:rPr>
          <w:rFonts w:asciiTheme="minorHAnsi" w:eastAsia="Times New Roman" w:hAnsiTheme="minorHAnsi" w:cs="Times New Roman"/>
          <w:sz w:val="18"/>
          <w:szCs w:val="18"/>
        </w:rPr>
      </w:pPr>
      <w:r>
        <w:rPr>
          <w:rFonts w:asciiTheme="minorHAnsi" w:eastAsia="Times New Roman" w:hAnsiTheme="minorHAnsi" w:cs="Times New Roman"/>
          <w:sz w:val="18"/>
          <w:szCs w:val="18"/>
        </w:rPr>
        <w:t>6.</w:t>
      </w:r>
      <w:r w:rsidR="009E7C92" w:rsidRPr="006D5249">
        <w:rPr>
          <w:rFonts w:asciiTheme="minorHAnsi" w:hAnsiTheme="minorHAnsi" w:cs="Times New Roman"/>
          <w:sz w:val="18"/>
          <w:szCs w:val="18"/>
        </w:rPr>
        <w:t xml:space="preserve"> Guyette F, Suffoletto B, Castillo JL,  Quintero J, Callaway C,  Puyana JC (2011)Prehospital Serum Lactate as a Predictor of Outcomes in Trauma Patients: A Retrospective Observational Study  </w:t>
      </w:r>
      <w:r w:rsidR="009E7C92">
        <w:rPr>
          <w:rFonts w:cs="Times New Roman"/>
          <w:sz w:val="18"/>
          <w:szCs w:val="18"/>
        </w:rPr>
        <w:t xml:space="preserve">J Trauma. </w:t>
      </w:r>
      <w:r w:rsidR="009E7C92" w:rsidRPr="006D5249">
        <w:rPr>
          <w:rFonts w:asciiTheme="minorHAnsi" w:hAnsiTheme="minorHAnsi" w:cs="Times New Roman"/>
          <w:sz w:val="18"/>
          <w:szCs w:val="18"/>
        </w:rPr>
        <w:t>70: 782–786</w:t>
      </w:r>
    </w:p>
    <w:p w:rsidR="0071759E" w:rsidRDefault="0071759E" w:rsidP="0071759E">
      <w:pPr>
        <w:spacing w:line="200" w:lineRule="exact"/>
        <w:jc w:val="both"/>
        <w:rPr>
          <w:rFonts w:ascii="Calibri" w:hAnsi="Calibri"/>
        </w:rPr>
        <w:sectPr w:rsidR="0071759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71759E" w:rsidRDefault="0071759E" w:rsidP="0071759E">
      <w:pPr>
        <w:pStyle w:val="BodyText"/>
        <w:rPr>
          <w:rFonts w:ascii="Calibri"/>
          <w:sz w:val="20"/>
        </w:rPr>
      </w:pPr>
    </w:p>
    <w:p w:rsidR="0071759E" w:rsidRDefault="00C66677" w:rsidP="0071759E">
      <w:pPr>
        <w:pStyle w:val="BodyText"/>
        <w:spacing w:line="40" w:lineRule="exact"/>
        <w:ind w:left="2202"/>
        <w:rPr>
          <w:rFonts w:ascii="Calibri"/>
          <w:sz w:val="4"/>
        </w:rPr>
      </w:pPr>
      <w:r w:rsidRPr="00C66677">
        <w:rPr>
          <w:rFonts w:ascii="Calibri"/>
          <w:noProof/>
          <w:sz w:val="4"/>
          <w:lang w:val="en-IN" w:eastAsia="en-IN"/>
        </w:rPr>
      </w:r>
      <w:r w:rsidRPr="00C66677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<w10:wrap type="none"/>
            <w10:anchorlock/>
          </v:group>
        </w:pict>
      </w:r>
    </w:p>
    <w:p w:rsidR="0071759E" w:rsidRDefault="009E7C92" w:rsidP="0071759E">
      <w:pPr>
        <w:keepNext/>
      </w:pPr>
      <w:r w:rsidRPr="009E7C92">
        <w:rPr>
          <w:noProof/>
        </w:rPr>
        <w:drawing>
          <wp:inline distT="0" distB="0" distL="0" distR="0">
            <wp:extent cx="515254" cy="687006"/>
            <wp:effectExtent l="19050" t="0" r="0" b="0"/>
            <wp:docPr id="8" name="Picture 7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54" cy="687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677" w:rsidRPr="00C66677">
        <w:rPr>
          <w:noProof/>
          <w:lang w:val="en-IN" w:eastAsia="en-IN"/>
        </w:rPr>
        <w:pict>
          <v:roundrect id="Rounded Rectangle 6" o:spid="_x0000_s1029" style="position:absolute;margin-left:388.15pt;margin-top:4.65pt;width:74.25pt;height:57pt;z-index:251661312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" strokecolor="#9bbb59" strokeweight="2.5pt">
            <v:shadow color="#868686"/>
            <v:textbox>
              <w:txbxContent>
                <w:p w:rsidR="0071759E" w:rsidRPr="006B44AF" w:rsidRDefault="007F3E0F" w:rsidP="0071759E">
                  <w:pPr>
                    <w:pStyle w:val="NoSpacing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F3E0F"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669925" cy="502358"/>
                        <wp:effectExtent l="19050" t="0" r="0" b="0"/>
                        <wp:docPr id="13" name="Picture 9" descr="C:\Users\user\Desktop\downloa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user\Desktop\downloa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9925" cy="5023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71759E" w:rsidRDefault="0071759E" w:rsidP="0071759E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9E7C92" w:rsidRDefault="009E7C92" w:rsidP="009E7C92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Ermira Biu is graduated as physician at Faculty of Medicine of Tirana, Albania in 2011.In 2012 she became a full-time lecturer of the Paraclinical Department of the Faculty of Technical Medical Sciences of Tirana. She has also developed her skills as an assistant of esthetic surgery. She is a PhD candidate and her research is based on blood and its products transfusion, data collected mostly on ICU-care, which most of her publications consist.</w:t>
      </w:r>
    </w:p>
    <w:p w:rsidR="0071759E" w:rsidRDefault="0071759E" w:rsidP="0071759E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37" w:history="1">
        <w:r w:rsidR="009E7C92" w:rsidRPr="009D5586">
          <w:rPr>
            <w:rStyle w:val="Hyperlink"/>
            <w:rFonts w:ascii="Arial"/>
            <w:sz w:val="14"/>
          </w:rPr>
          <w:t>dr.ermirabiu@gmail.com</w:t>
        </w:r>
      </w:hyperlink>
    </w:p>
    <w:p w:rsidR="0071759E" w:rsidRPr="001F0953" w:rsidRDefault="00C66677" w:rsidP="001F0953">
      <w:pPr>
        <w:pStyle w:val="BodyText"/>
        <w:spacing w:before="2"/>
        <w:rPr>
          <w:rFonts w:ascii="Arial"/>
          <w:sz w:val="19"/>
        </w:rPr>
        <w:sectPr w:rsidR="0071759E" w:rsidRPr="001F095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C66677">
        <w:rPr>
          <w:noProof/>
          <w:lang w:val="en-IN" w:eastAsia="en-IN"/>
        </w:rPr>
        <w:pict>
          <v:line id="Line 3" o:spid="_x0000_s1028" style="position:absolute;z-index:251659264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71759E" w:rsidRPr="00B21A57">
        <w:rPr>
          <w:rFonts w:ascii="Minion Pro"/>
          <w:b/>
          <w:sz w:val="20"/>
        </w:rPr>
        <w:t>Notes/Comments</w:t>
      </w:r>
    </w:p>
    <w:p w:rsidR="0071759E" w:rsidRDefault="0071759E" w:rsidP="001F0953">
      <w:pPr>
        <w:pStyle w:val="BodyText"/>
        <w:spacing w:before="3"/>
        <w:rPr>
          <w:rFonts w:ascii="Minion Pro"/>
          <w:sz w:val="26"/>
        </w:rPr>
      </w:pPr>
    </w:p>
    <w:sectPr w:rsidR="0071759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FFD" w:rsidRDefault="00BF0FFD" w:rsidP="0071759E">
      <w:r>
        <w:separator/>
      </w:r>
    </w:p>
  </w:endnote>
  <w:endnote w:type="continuationSeparator" w:id="1">
    <w:p w:rsidR="00BF0FFD" w:rsidRDefault="00BF0FFD" w:rsidP="007175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Pr="002B0A93" w:rsidRDefault="001F0953" w:rsidP="00B36534">
    <w:pPr>
      <w:pStyle w:val="Footer"/>
      <w:jc w:val="center"/>
      <w:rPr>
        <w:rFonts w:ascii="Times New Roman" w:hAnsi="Times New Roman" w:cs="Times New Roman"/>
        <w:sz w:val="28"/>
        <w:szCs w:val="28"/>
        <w:lang w:val="en-IN"/>
      </w:rPr>
    </w:pPr>
    <w:r>
      <w:rPr>
        <w:rFonts w:ascii="Times New Roman" w:hAnsi="Times New Roman" w:cs="Times New Roman"/>
        <w:sz w:val="28"/>
        <w:szCs w:val="28"/>
        <w:lang w:val="en-IN"/>
      </w:rPr>
      <w:t xml:space="preserve">Hematology </w:t>
    </w:r>
    <w:r w:rsidR="00B36534">
      <w:rPr>
        <w:rFonts w:ascii="Times New Roman" w:hAnsi="Times New Roman" w:cs="Times New Roman"/>
        <w:sz w:val="28"/>
        <w:szCs w:val="28"/>
        <w:lang w:val="en-IN"/>
      </w:rPr>
      <w:t xml:space="preserve">Congress </w:t>
    </w:r>
    <w:r>
      <w:rPr>
        <w:rFonts w:ascii="Times New Roman" w:hAnsi="Times New Roman" w:cs="Times New Roman"/>
        <w:sz w:val="28"/>
        <w:szCs w:val="28"/>
        <w:lang w:val="en-IN"/>
      </w:rPr>
      <w:t>2019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FFD" w:rsidRDefault="00BF0FFD" w:rsidP="0071759E">
      <w:r>
        <w:separator/>
      </w:r>
    </w:p>
  </w:footnote>
  <w:footnote w:type="continuationSeparator" w:id="1">
    <w:p w:rsidR="00BF0FFD" w:rsidRDefault="00BF0FFD" w:rsidP="007175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F8" w:rsidRDefault="00ED20DC">
    <w:pPr>
      <w:pStyle w:val="Header"/>
    </w:pPr>
    <w:r>
      <w:rPr>
        <w:noProof/>
      </w:rPr>
      <w:drawing>
        <wp:inline distT="0" distB="0" distL="0" distR="0">
          <wp:extent cx="6799205" cy="1091565"/>
          <wp:effectExtent l="0" t="0" r="190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2087" cy="1108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264E5" w:rsidRPr="001A5452" w:rsidRDefault="009264E5" w:rsidP="001A545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71759E"/>
    <w:rsid w:val="000501F8"/>
    <w:rsid w:val="0006773A"/>
    <w:rsid w:val="00076977"/>
    <w:rsid w:val="00126992"/>
    <w:rsid w:val="001A5452"/>
    <w:rsid w:val="001D358A"/>
    <w:rsid w:val="001F0953"/>
    <w:rsid w:val="00206F6A"/>
    <w:rsid w:val="002510CB"/>
    <w:rsid w:val="00255199"/>
    <w:rsid w:val="00286D0F"/>
    <w:rsid w:val="002F1D45"/>
    <w:rsid w:val="00321E4C"/>
    <w:rsid w:val="00503D53"/>
    <w:rsid w:val="0057395C"/>
    <w:rsid w:val="005C5E2D"/>
    <w:rsid w:val="0060463B"/>
    <w:rsid w:val="0064049A"/>
    <w:rsid w:val="006B0E5D"/>
    <w:rsid w:val="006B2088"/>
    <w:rsid w:val="006B28D4"/>
    <w:rsid w:val="006C3950"/>
    <w:rsid w:val="0071759E"/>
    <w:rsid w:val="00731381"/>
    <w:rsid w:val="0077018A"/>
    <w:rsid w:val="007C7995"/>
    <w:rsid w:val="007F3E0F"/>
    <w:rsid w:val="008406C8"/>
    <w:rsid w:val="00925CF9"/>
    <w:rsid w:val="009264E5"/>
    <w:rsid w:val="00987F2C"/>
    <w:rsid w:val="009D257D"/>
    <w:rsid w:val="009D2F13"/>
    <w:rsid w:val="009E7C92"/>
    <w:rsid w:val="00A60D5A"/>
    <w:rsid w:val="00A83E6D"/>
    <w:rsid w:val="00B24A71"/>
    <w:rsid w:val="00B36534"/>
    <w:rsid w:val="00B81B97"/>
    <w:rsid w:val="00BD68AB"/>
    <w:rsid w:val="00BF0FFD"/>
    <w:rsid w:val="00BF1CFB"/>
    <w:rsid w:val="00C36024"/>
    <w:rsid w:val="00C66677"/>
    <w:rsid w:val="00CC58A1"/>
    <w:rsid w:val="00DC1DDE"/>
    <w:rsid w:val="00E3083E"/>
    <w:rsid w:val="00EA7B0D"/>
    <w:rsid w:val="00ED20DC"/>
    <w:rsid w:val="00FC7C24"/>
    <w:rsid w:val="00FD6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759E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71759E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71759E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1759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71759E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1759E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1759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71759E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7175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59E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7175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59E"/>
    <w:rPr>
      <w:rFonts w:ascii="Tw Cen MT" w:eastAsia="Tw Cen MT" w:hAnsi="Tw Cen MT" w:cs="Tw Cen MT"/>
    </w:rPr>
  </w:style>
  <w:style w:type="character" w:styleId="Hyperlink">
    <w:name w:val="Hyperlink"/>
    <w:basedOn w:val="DefaultParagraphFont"/>
    <w:uiPriority w:val="99"/>
    <w:unhideWhenUsed/>
    <w:rsid w:val="0071759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1759E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B97"/>
    <w:rPr>
      <w:rFonts w:ascii="Tahoma" w:eastAsia="Tw Cen MT" w:hAnsi="Tahoma" w:cs="Tahoma"/>
      <w:sz w:val="16"/>
      <w:szCs w:val="16"/>
    </w:rPr>
  </w:style>
  <w:style w:type="paragraph" w:customStyle="1" w:styleId="sub-subsec">
    <w:name w:val="sub-subsec"/>
    <w:basedOn w:val="Normal"/>
    <w:rsid w:val="00B81B9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Normal"/>
    <w:rsid w:val="00B81B9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B24A71"/>
    <w:pPr>
      <w:spacing w:after="200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Jansen%20TC%5BAuthor%5D&amp;cauthor=true&amp;cauthor_uid=19091118" TargetMode="External"/><Relationship Id="rId18" Type="http://schemas.openxmlformats.org/officeDocument/2006/relationships/hyperlink" Target="https://www.ncbi.nlm.nih.gov/pubmed/?term=Bakker%20J%5BAuthor%5D&amp;cauthor=true&amp;cauthor_uid=19091118" TargetMode="External"/><Relationship Id="rId26" Type="http://schemas.openxmlformats.org/officeDocument/2006/relationships/hyperlink" Target="https://www.ncbi.nlm.nih.gov/pubmed/29560047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?term=McCoy%20AM%5BAuthor%5D&amp;cauthor=true&amp;cauthor_uid=29560047" TargetMode="External"/><Relationship Id="rId34" Type="http://schemas.openxmlformats.org/officeDocument/2006/relationships/hyperlink" Target="https://www.ncbi.nlm.nih.gov/pubmed/28705203" TargetMode="Externa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28486864" TargetMode="External"/><Relationship Id="rId17" Type="http://schemas.openxmlformats.org/officeDocument/2006/relationships/hyperlink" Target="https://www.ncbi.nlm.nih.gov/pubmed/?term=Schieveld%20SJ%5BAuthor%5D&amp;cauthor=true&amp;cauthor_uid=19091118" TargetMode="External"/><Relationship Id="rId25" Type="http://schemas.openxmlformats.org/officeDocument/2006/relationships/hyperlink" Target="https://www.ncbi.nlm.nih.gov/pubmed/?term=Sayre%20MR%5BAuthor%5D&amp;cauthor=true&amp;cauthor_uid=29560047" TargetMode="External"/><Relationship Id="rId33" Type="http://schemas.openxmlformats.org/officeDocument/2006/relationships/hyperlink" Target="https://www.ncbi.nlm.nih.gov/pubmed/?term=Abou%20Dagher%20G%5BAuthor%5D&amp;cauthor=true&amp;cauthor_uid=28705203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Rommes%20JH%5BAuthor%5D&amp;cauthor=true&amp;cauthor_uid=19091118" TargetMode="External"/><Relationship Id="rId20" Type="http://schemas.openxmlformats.org/officeDocument/2006/relationships/hyperlink" Target="https://www.ncbi.nlm.nih.gov/pubmed/?term=St%20John%20AE%5BAuthor%5D&amp;cauthor=true&amp;cauthor_uid=29560047" TargetMode="External"/><Relationship Id="rId29" Type="http://schemas.openxmlformats.org/officeDocument/2006/relationships/hyperlink" Target="https://www.ncbi.nlm.nih.gov/pubmed/?term=Shami%20A%5BAuthor%5D&amp;cauthor=true&amp;cauthor_uid=2870520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ournals.sagepub.com/doi/abs/10.1177/0885066617708563" TargetMode="External"/><Relationship Id="rId24" Type="http://schemas.openxmlformats.org/officeDocument/2006/relationships/hyperlink" Target="https://www.ncbi.nlm.nih.gov/pubmed/?term=Bulger%20EM%5BAuthor%5D&amp;cauthor=true&amp;cauthor_uid=29560047" TargetMode="External"/><Relationship Id="rId32" Type="http://schemas.openxmlformats.org/officeDocument/2006/relationships/hyperlink" Target="https://www.ncbi.nlm.nih.gov/pubmed/?term=Bachir%20R%5BAuthor%5D&amp;cauthor=true&amp;cauthor_uid=28705203" TargetMode="External"/><Relationship Id="rId37" Type="http://schemas.openxmlformats.org/officeDocument/2006/relationships/hyperlink" Target="mailto:dr.ermirabiu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?term=Mulder%20PG%5BAuthor%5D&amp;cauthor=true&amp;cauthor_uid=19091118" TargetMode="External"/><Relationship Id="rId23" Type="http://schemas.openxmlformats.org/officeDocument/2006/relationships/hyperlink" Target="https://www.ncbi.nlm.nih.gov/pubmed/?term=Guyette%20FX%5BAuthor%5D&amp;cauthor=true&amp;cauthor_uid=29560047" TargetMode="External"/><Relationship Id="rId28" Type="http://schemas.openxmlformats.org/officeDocument/2006/relationships/hyperlink" Target="https://www.ncbi.nlm.nih.gov/pubmed/?term=El%20Khuri%20C%5BAuthor%5D&amp;cauthor=true&amp;cauthor_uid=28705203" TargetMode="External"/><Relationship Id="rId36" Type="http://schemas.openxmlformats.org/officeDocument/2006/relationships/image" Target="media/image4.png"/><Relationship Id="rId10" Type="http://schemas.openxmlformats.org/officeDocument/2006/relationships/hyperlink" Target="https://journals.sagepub.com/doi/abs/10.1177/0885066617708563" TargetMode="External"/><Relationship Id="rId19" Type="http://schemas.openxmlformats.org/officeDocument/2006/relationships/hyperlink" Target="https://www.ncbi.nlm.nih.gov/pubmed/19091118" TargetMode="External"/><Relationship Id="rId31" Type="http://schemas.openxmlformats.org/officeDocument/2006/relationships/hyperlink" Target="https://www.ncbi.nlm.nih.gov/pubmed/?term=Faris%20N%5BAuthor%5D&amp;cauthor=true&amp;cauthor_uid=28705203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ncbi.nlm.nih.gov/pubmed/?term=van%20Bommel%20J%5BAuthor%5D&amp;cauthor=true&amp;cauthor_uid=19091118" TargetMode="External"/><Relationship Id="rId22" Type="http://schemas.openxmlformats.org/officeDocument/2006/relationships/hyperlink" Target="https://www.ncbi.nlm.nih.gov/pubmed/?term=Moyes%20AG%5BAuthor%5D&amp;cauthor=true&amp;cauthor_uid=29560047" TargetMode="External"/><Relationship Id="rId27" Type="http://schemas.openxmlformats.org/officeDocument/2006/relationships/hyperlink" Target="https://www.ncbi.nlm.nih.gov/pubmed/?term=Bou%20Chebl%20R%5BAuthor%5D&amp;cauthor=true&amp;cauthor_uid=28705203" TargetMode="External"/><Relationship Id="rId30" Type="http://schemas.openxmlformats.org/officeDocument/2006/relationships/hyperlink" Target="https://www.ncbi.nlm.nih.gov/pubmed/?term=Rajha%20E%5BAuthor%5D&amp;cauthor=true&amp;cauthor_uid=28705203" TargetMode="External"/><Relationship Id="rId35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Clinical Oncology</dc:creator>
  <cp:lastModifiedBy>Admin</cp:lastModifiedBy>
  <cp:revision>4</cp:revision>
  <dcterms:created xsi:type="dcterms:W3CDTF">2019-01-16T12:20:00Z</dcterms:created>
  <dcterms:modified xsi:type="dcterms:W3CDTF">2019-01-16T12:22:00Z</dcterms:modified>
</cp:coreProperties>
</file>