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392694" w:rsidP="00AF61EB">
      <w:pPr>
        <w:keepNext/>
      </w:pPr>
      <w:r w:rsidRPr="00392694">
        <w:rPr>
          <w:rStyle w:val="a"/>
          <w:rFonts w:eastAsia="Times New Roman"/>
          <w:snapToGrid w:val="0"/>
          <w:color w:val="000000"/>
          <w:w w:val="0"/>
          <w:sz w:val="0"/>
          <w:szCs w:val="0"/>
          <w:u w:color="000000"/>
          <w:bdr w:val="none" w:sz="0" w:space="0" w:color="000000"/>
          <w:shd w:val="clear" w:color="000000" w:fill="000000"/>
          <w:lang/>
        </w:rPr>
        <w:t xml:space="preserve"> </w:t>
      </w:r>
      <w:r>
        <w:rPr>
          <w:rFonts w:eastAsia="MS PGothic"/>
          <w:b/>
          <w:noProof/>
          <w:color w:val="000000"/>
          <w:sz w:val="28"/>
          <w:szCs w:val="28"/>
          <w:lang w:val="ru-RU" w:eastAsia="ru-RU"/>
        </w:rPr>
        <w:drawing>
          <wp:inline distT="0" distB="0" distL="0" distR="0">
            <wp:extent cx="1116330" cy="1472565"/>
            <wp:effectExtent l="19050" t="0" r="7620" b="0"/>
            <wp:docPr id="2" name="Рисунок 1" descr="G:\Шахсий хужжатлар\Дилфуза Рас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Шахсий хужжатлар\Дилфуза Расм.jpg"/>
                    <pic:cNvPicPr>
                      <a:picLocks noChangeAspect="1" noChangeArrowheads="1"/>
                    </pic:cNvPicPr>
                  </pic:nvPicPr>
                  <pic:blipFill>
                    <a:blip r:embed="rId4" cstate="print"/>
                    <a:srcRect/>
                    <a:stretch>
                      <a:fillRect/>
                    </a:stretch>
                  </pic:blipFill>
                  <pic:spPr bwMode="auto">
                    <a:xfrm>
                      <a:off x="0" y="0"/>
                      <a:ext cx="1116330" cy="1472565"/>
                    </a:xfrm>
                    <a:prstGeom prst="rect">
                      <a:avLst/>
                    </a:prstGeom>
                    <a:noFill/>
                    <a:ln w="9525">
                      <a:noFill/>
                      <a:miter lim="800000"/>
                      <a:headEnd/>
                      <a:tailEnd/>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392694" w:rsidRPr="00392694" w:rsidRDefault="00074C9C" w:rsidP="00392694">
      <w:pPr>
        <w:jc w:val="both"/>
        <w:rPr>
          <w:rFonts w:eastAsia="MS PGothic"/>
          <w:color w:val="000000"/>
          <w:szCs w:val="32"/>
        </w:rPr>
      </w:pPr>
      <w:r w:rsidRPr="00327F9B">
        <w:rPr>
          <w:rFonts w:eastAsia="MS PGothic"/>
          <w:b/>
          <w:color w:val="000000"/>
          <w:sz w:val="28"/>
          <w:szCs w:val="28"/>
        </w:rPr>
        <w:t xml:space="preserve">Title: </w:t>
      </w:r>
      <w:r w:rsidR="00392694" w:rsidRPr="00392694">
        <w:rPr>
          <w:rFonts w:eastAsia="MS PGothic"/>
          <w:color w:val="000000"/>
          <w:szCs w:val="32"/>
        </w:rPr>
        <w:t>Assessment of the follicular reserve of patients with polycystic ovary syndrome (PCOS) during IVF</w:t>
      </w:r>
    </w:p>
    <w:p w:rsidR="00074C9C" w:rsidRPr="00327F9B" w:rsidRDefault="00074C9C" w:rsidP="00074C9C">
      <w:pPr>
        <w:rPr>
          <w:rFonts w:eastAsia="MS PGothic"/>
          <w:b/>
          <w:color w:val="000000"/>
          <w:sz w:val="28"/>
          <w:szCs w:val="28"/>
        </w:rPr>
      </w:pPr>
    </w:p>
    <w:p w:rsidR="00392694" w:rsidRDefault="00074C9C" w:rsidP="00392694">
      <w:pPr>
        <w:jc w:val="center"/>
        <w:rPr>
          <w:rFonts w:eastAsia="MS PGothic" w:hAnsi="Arial"/>
          <w:color w:val="000000"/>
        </w:rPr>
      </w:pPr>
      <w:r>
        <w:rPr>
          <w:rFonts w:eastAsia="MS PGothic" w:hAnsi="Arial"/>
          <w:color w:val="000000"/>
        </w:rPr>
        <w:br/>
      </w:r>
      <w:proofErr w:type="spellStart"/>
      <w:r w:rsidR="00392694" w:rsidRPr="00FC71BD">
        <w:rPr>
          <w:rFonts w:eastAsia="MS PGothic" w:hAnsi="Arial"/>
          <w:color w:val="000000"/>
        </w:rPr>
        <w:t>Ayupova</w:t>
      </w:r>
      <w:proofErr w:type="spellEnd"/>
      <w:r w:rsidR="00392694" w:rsidRPr="00FC71BD">
        <w:rPr>
          <w:rFonts w:eastAsia="MS PGothic" w:hAnsi="Arial"/>
          <w:color w:val="000000"/>
        </w:rPr>
        <w:t xml:space="preserve"> F.M., </w:t>
      </w:r>
      <w:proofErr w:type="spellStart"/>
      <w:r w:rsidR="00392694" w:rsidRPr="00FC71BD">
        <w:rPr>
          <w:rFonts w:eastAsia="MS PGothic" w:hAnsi="Arial"/>
          <w:color w:val="000000"/>
        </w:rPr>
        <w:t>Saidjalilova</w:t>
      </w:r>
      <w:proofErr w:type="spellEnd"/>
      <w:r w:rsidR="00392694" w:rsidRPr="00FC71BD">
        <w:rPr>
          <w:rFonts w:eastAsia="MS PGothic" w:hAnsi="Arial"/>
          <w:color w:val="000000"/>
        </w:rPr>
        <w:t xml:space="preserve"> D.D., </w:t>
      </w:r>
      <w:proofErr w:type="spellStart"/>
      <w:r w:rsidR="00392694" w:rsidRPr="00FC71BD">
        <w:rPr>
          <w:rFonts w:eastAsia="MS PGothic" w:hAnsi="Arial"/>
          <w:color w:val="000000"/>
        </w:rPr>
        <w:t>Mirzaeva</w:t>
      </w:r>
      <w:proofErr w:type="spellEnd"/>
      <w:r w:rsidR="00392694" w:rsidRPr="00FC71BD">
        <w:rPr>
          <w:rFonts w:eastAsia="MS PGothic" w:hAnsi="Arial"/>
          <w:color w:val="000000"/>
        </w:rPr>
        <w:t xml:space="preserve"> D.B.</w:t>
      </w:r>
    </w:p>
    <w:p w:rsidR="00392694" w:rsidRDefault="00392694" w:rsidP="00392694">
      <w:pPr>
        <w:jc w:val="center"/>
        <w:rPr>
          <w:rFonts w:eastAsia="MS PGothic" w:hAnsi="Arial"/>
          <w:color w:val="000000"/>
        </w:rPr>
      </w:pPr>
      <w:r>
        <w:rPr>
          <w:rFonts w:eastAsia="MS PGothic" w:hAnsi="Arial"/>
          <w:color w:val="000000"/>
        </w:rPr>
        <w:t>Tashkent Medical Academy, Tashkent, Uzbekistan</w:t>
      </w:r>
    </w:p>
    <w:p w:rsidR="00DC433A" w:rsidRPr="00D81022" w:rsidRDefault="00DC433A" w:rsidP="00392694">
      <w:pPr>
        <w:rPr>
          <w:color w:val="0000FF"/>
          <w:sz w:val="36"/>
          <w:szCs w:val="36"/>
        </w:rPr>
      </w:pPr>
    </w:p>
    <w:p w:rsidR="00B8710A" w:rsidRDefault="00392694" w:rsidP="00392694">
      <w:pPr>
        <w:jc w:val="both"/>
        <w:rPr>
          <w:color w:val="000000"/>
        </w:rPr>
      </w:pPr>
      <w:r w:rsidRPr="00392694">
        <w:rPr>
          <w:rFonts w:eastAsia="MS PGothic"/>
          <w:color w:val="000000"/>
          <w:szCs w:val="32"/>
        </w:rPr>
        <w:t>The purpose of our study was to conduct a comparative assessment of ultrasound parameters in comparison with the results of the determination of anti-Muller hormone (AMH) in patients with IVF. A total of 25 women with PCOS were examined, 13 of whom had metabolic disorders, and 12 women with had no metabolic disorders (comparison group). The analysis of the content of AMG showed that in those patients who had a wedge resection of the ovaries, the content of AMH was significantly reduced in both groups and amounted to 1</w:t>
      </w:r>
      <w:proofErr w:type="gramStart"/>
      <w:r w:rsidRPr="00392694">
        <w:rPr>
          <w:rFonts w:eastAsia="MS PGothic"/>
          <w:color w:val="000000"/>
          <w:szCs w:val="32"/>
        </w:rPr>
        <w:t>,8</w:t>
      </w:r>
      <w:proofErr w:type="gramEnd"/>
      <w:r w:rsidRPr="00392694">
        <w:rPr>
          <w:rFonts w:eastAsia="MS PGothic"/>
          <w:color w:val="000000"/>
          <w:szCs w:val="32"/>
        </w:rPr>
        <w:t xml:space="preserve">±0,1 </w:t>
      </w:r>
      <w:proofErr w:type="spellStart"/>
      <w:r w:rsidRPr="00392694">
        <w:rPr>
          <w:rFonts w:eastAsia="MS PGothic"/>
          <w:color w:val="000000"/>
          <w:szCs w:val="32"/>
        </w:rPr>
        <w:t>ng</w:t>
      </w:r>
      <w:proofErr w:type="spellEnd"/>
      <w:r w:rsidRPr="00392694">
        <w:rPr>
          <w:rFonts w:eastAsia="MS PGothic"/>
          <w:color w:val="000000"/>
          <w:szCs w:val="32"/>
        </w:rPr>
        <w:t xml:space="preserve">/ml in the main group, 1,9±0,2 </w:t>
      </w:r>
      <w:proofErr w:type="spellStart"/>
      <w:r w:rsidRPr="00392694">
        <w:rPr>
          <w:rFonts w:eastAsia="MS PGothic"/>
          <w:color w:val="000000"/>
          <w:szCs w:val="32"/>
        </w:rPr>
        <w:t>ng</w:t>
      </w:r>
      <w:proofErr w:type="spellEnd"/>
      <w:r w:rsidRPr="00392694">
        <w:rPr>
          <w:rFonts w:eastAsia="MS PGothic"/>
          <w:color w:val="000000"/>
          <w:szCs w:val="32"/>
        </w:rPr>
        <w:t xml:space="preserve">/ml in the comparison group. A similar picture was observed in women with a </w:t>
      </w:r>
      <w:proofErr w:type="spellStart"/>
      <w:r w:rsidRPr="00392694">
        <w:rPr>
          <w:rFonts w:eastAsia="MS PGothic"/>
          <w:color w:val="000000"/>
          <w:szCs w:val="32"/>
        </w:rPr>
        <w:t>decortication</w:t>
      </w:r>
      <w:proofErr w:type="spellEnd"/>
      <w:r w:rsidRPr="00392694">
        <w:rPr>
          <w:rFonts w:eastAsia="MS PGothic"/>
          <w:color w:val="000000"/>
          <w:szCs w:val="32"/>
        </w:rPr>
        <w:t xml:space="preserve"> in anamnesis: 2</w:t>
      </w:r>
      <w:proofErr w:type="gramStart"/>
      <w:r w:rsidRPr="00392694">
        <w:rPr>
          <w:rFonts w:eastAsia="MS PGothic"/>
          <w:color w:val="000000"/>
          <w:szCs w:val="32"/>
        </w:rPr>
        <w:t>,1</w:t>
      </w:r>
      <w:proofErr w:type="gramEnd"/>
      <w:r w:rsidRPr="00392694">
        <w:rPr>
          <w:rFonts w:eastAsia="MS PGothic"/>
          <w:color w:val="000000"/>
          <w:szCs w:val="32"/>
        </w:rPr>
        <w:t xml:space="preserve">±0,3 </w:t>
      </w:r>
      <w:proofErr w:type="spellStart"/>
      <w:r w:rsidRPr="00392694">
        <w:rPr>
          <w:rFonts w:eastAsia="MS PGothic"/>
          <w:color w:val="000000"/>
          <w:szCs w:val="32"/>
        </w:rPr>
        <w:t>ng</w:t>
      </w:r>
      <w:proofErr w:type="spellEnd"/>
      <w:r w:rsidRPr="00392694">
        <w:rPr>
          <w:rFonts w:eastAsia="MS PGothic"/>
          <w:color w:val="000000"/>
          <w:szCs w:val="32"/>
        </w:rPr>
        <w:t xml:space="preserve">/ml and 2,7±0,3 </w:t>
      </w:r>
      <w:proofErr w:type="spellStart"/>
      <w:r w:rsidRPr="00392694">
        <w:rPr>
          <w:rFonts w:eastAsia="MS PGothic"/>
          <w:color w:val="000000"/>
          <w:szCs w:val="32"/>
        </w:rPr>
        <w:t>ng</w:t>
      </w:r>
      <w:proofErr w:type="spellEnd"/>
      <w:r w:rsidRPr="00392694">
        <w:rPr>
          <w:rFonts w:eastAsia="MS PGothic"/>
          <w:color w:val="000000"/>
          <w:szCs w:val="32"/>
        </w:rPr>
        <w:t xml:space="preserve">/ml (p&gt;0,05). In women of the main group, who were drilled or cauterized by the ovaries before the start of the IVF protocol, AMH content was significantly higher than in women of comparison group – 4,2±0,1 </w:t>
      </w:r>
      <w:proofErr w:type="spellStart"/>
      <w:r w:rsidRPr="00392694">
        <w:rPr>
          <w:rFonts w:eastAsia="MS PGothic"/>
          <w:color w:val="000000"/>
          <w:szCs w:val="32"/>
        </w:rPr>
        <w:t>ng</w:t>
      </w:r>
      <w:proofErr w:type="spellEnd"/>
      <w:r w:rsidRPr="00392694">
        <w:rPr>
          <w:rFonts w:eastAsia="MS PGothic"/>
          <w:color w:val="000000"/>
          <w:szCs w:val="32"/>
        </w:rPr>
        <w:t xml:space="preserve">/ml and 3,8±0,2 </w:t>
      </w:r>
      <w:proofErr w:type="spellStart"/>
      <w:r w:rsidRPr="00392694">
        <w:rPr>
          <w:rFonts w:eastAsia="MS PGothic"/>
          <w:color w:val="000000"/>
          <w:szCs w:val="32"/>
        </w:rPr>
        <w:t>ng</w:t>
      </w:r>
      <w:proofErr w:type="spellEnd"/>
      <w:r w:rsidRPr="00392694">
        <w:rPr>
          <w:rFonts w:eastAsia="MS PGothic"/>
          <w:color w:val="000000"/>
          <w:szCs w:val="32"/>
        </w:rPr>
        <w:t xml:space="preserve">/ml, as well as 5,1±0,2 and 3,6±0,3 </w:t>
      </w:r>
      <w:proofErr w:type="spellStart"/>
      <w:r w:rsidRPr="00392694">
        <w:rPr>
          <w:rFonts w:eastAsia="MS PGothic"/>
          <w:color w:val="000000"/>
          <w:szCs w:val="32"/>
        </w:rPr>
        <w:t>ng</w:t>
      </w:r>
      <w:proofErr w:type="spellEnd"/>
      <w:r w:rsidRPr="00392694">
        <w:rPr>
          <w:rFonts w:eastAsia="MS PGothic"/>
          <w:color w:val="000000"/>
          <w:szCs w:val="32"/>
        </w:rPr>
        <w:t>/ml (p&lt;0,001). Note that the ultrasound picture complemented the concept of pathology and helped to some extent assess the follicular reserve of women with PCOS, but even more informative ultrasound was manifested in terms of the differential diagnosis of PCOS with a multi-follicular ovary. However, in women with metabolic syndrome, AMH values were more informative, since follicle counting in women with obesity of 2–3 degrees ultrasound is difficult. Thus, only a comprehensive examination of women with regard to individual values allows us to substantiate the choice and methods of stimulation in IVF protocols.</w:t>
      </w:r>
    </w:p>
    <w:p w:rsidR="00B8710A" w:rsidRDefault="00B8710A" w:rsidP="00363668">
      <w:pPr>
        <w:jc w:val="both"/>
        <w:rPr>
          <w:b/>
        </w:rPr>
      </w:pPr>
      <w:r w:rsidRPr="00732C88">
        <w:rPr>
          <w:b/>
        </w:rPr>
        <w:t>Biography</w:t>
      </w:r>
    </w:p>
    <w:p w:rsidR="00CE6677" w:rsidRDefault="00CE6677" w:rsidP="00363668">
      <w:pPr>
        <w:jc w:val="both"/>
        <w:rPr>
          <w:b/>
        </w:rPr>
      </w:pPr>
    </w:p>
    <w:p w:rsidR="007D233A" w:rsidRDefault="00392694" w:rsidP="00363668">
      <w:pPr>
        <w:jc w:val="both"/>
        <w:rPr>
          <w:b/>
        </w:rPr>
      </w:pPr>
      <w:proofErr w:type="spellStart"/>
      <w:r w:rsidRPr="00392694">
        <w:t>Mirzaeva</w:t>
      </w:r>
      <w:proofErr w:type="spellEnd"/>
      <w:r w:rsidRPr="00392694">
        <w:t xml:space="preserve"> </w:t>
      </w:r>
      <w:proofErr w:type="spellStart"/>
      <w:r w:rsidRPr="00392694">
        <w:t>Dilfuza</w:t>
      </w:r>
      <w:proofErr w:type="spellEnd"/>
      <w:r w:rsidRPr="00392694">
        <w:t xml:space="preserve"> </w:t>
      </w:r>
      <w:proofErr w:type="spellStart"/>
      <w:r w:rsidRPr="00392694">
        <w:t>Botirjonovna</w:t>
      </w:r>
      <w:proofErr w:type="spellEnd"/>
      <w:r w:rsidRPr="00392694">
        <w:t xml:space="preserve">, age 34, graduated from the Tashkent Medical Academy and works as an assistant at the Department of Obstetrics and Gynecology TMA. He is the author of several publications. </w:t>
      </w:r>
      <w:proofErr w:type="gramStart"/>
      <w:r w:rsidRPr="00392694">
        <w:t>Performs scientific research in the direction of IVF.</w:t>
      </w:r>
      <w:proofErr w:type="gramEnd"/>
    </w:p>
    <w:sectPr w:rsidR="007D233A"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5F8"/>
    <w:rsid w:val="0000664F"/>
    <w:rsid w:val="0002392A"/>
    <w:rsid w:val="00074C9C"/>
    <w:rsid w:val="000D6718"/>
    <w:rsid w:val="001B06AE"/>
    <w:rsid w:val="00265E72"/>
    <w:rsid w:val="002C359D"/>
    <w:rsid w:val="002C3D9B"/>
    <w:rsid w:val="0031455A"/>
    <w:rsid w:val="00363668"/>
    <w:rsid w:val="00384441"/>
    <w:rsid w:val="00392694"/>
    <w:rsid w:val="003A3C5A"/>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95F80"/>
    <w:rsid w:val="00CE6677"/>
    <w:rsid w:val="00D605F8"/>
    <w:rsid w:val="00D734FE"/>
    <w:rsid w:val="00D841B1"/>
    <w:rsid w:val="00DC433A"/>
    <w:rsid w:val="00E63452"/>
    <w:rsid w:val="00ED2B89"/>
    <w:rsid w:val="00F848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a5"/>
    <w:uiPriority w:val="99"/>
    <w:semiHidden/>
    <w:unhideWhenUsed/>
    <w:rsid w:val="00AF61EB"/>
    <w:rPr>
      <w:rFonts w:ascii="Tahoma" w:hAnsi="Tahoma" w:cs="Tahoma"/>
      <w:sz w:val="16"/>
      <w:szCs w:val="16"/>
    </w:rPr>
  </w:style>
  <w:style w:type="character" w:customStyle="1" w:styleId="a5">
    <w:name w:val="Текст выноски Знак"/>
    <w:basedOn w:val="a0"/>
    <w:link w:val="a4"/>
    <w:uiPriority w:val="99"/>
    <w:semiHidden/>
    <w:rsid w:val="00AF61EB"/>
    <w:rPr>
      <w:rFonts w:ascii="Tahoma" w:eastAsia="Batang" w:hAnsi="Tahoma" w:cs="Tahoma"/>
      <w:sz w:val="16"/>
      <w:szCs w:val="16"/>
      <w:lang w:eastAsia="ko-KR"/>
    </w:rPr>
  </w:style>
  <w:style w:type="paragraph" w:styleId="a6">
    <w:name w:val="caption"/>
    <w:basedOn w:val="a"/>
    <w:next w:val="a"/>
    <w:uiPriority w:val="35"/>
    <w:unhideWhenUsed/>
    <w:qFormat/>
    <w:rsid w:val="00AF61EB"/>
    <w:pPr>
      <w:spacing w:after="200"/>
    </w:pPr>
    <w:rPr>
      <w:b/>
      <w:bCs/>
      <w:color w:val="4F81BD"/>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Mirzayeva Dilfuza</cp:lastModifiedBy>
  <cp:revision>2</cp:revision>
  <dcterms:created xsi:type="dcterms:W3CDTF">2018-12-08T16:48:00Z</dcterms:created>
  <dcterms:modified xsi:type="dcterms:W3CDTF">2018-12-08T16:48:00Z</dcterms:modified>
</cp:coreProperties>
</file>