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79B" w:rsidRPr="00ED03BA" w:rsidRDefault="00ED03BA" w:rsidP="003407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03BA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  <w:t>T</w:t>
      </w:r>
      <w:r w:rsidRPr="00ED03BA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  <w:t>he mechanisms of total nutritional supplement-Nutrawell as a radiosensitizers to suppress lung cancer</w:t>
      </w:r>
    </w:p>
    <w:p w:rsidR="00ED03BA" w:rsidRDefault="00ED03BA" w:rsidP="0034079B">
      <w:pPr>
        <w:jc w:val="center"/>
        <w:rPr>
          <w:rFonts w:ascii="Times New Roman" w:hAnsi="Times New Roman" w:cs="Times New Roman"/>
          <w:b/>
          <w:bCs/>
        </w:rPr>
      </w:pPr>
    </w:p>
    <w:p w:rsidR="00BB71D2" w:rsidRPr="000D4711" w:rsidRDefault="00BB71D2" w:rsidP="00BB71D2">
      <w:pPr>
        <w:spacing w:line="360" w:lineRule="auto"/>
        <w:jc w:val="both"/>
        <w:rPr>
          <w:rFonts w:ascii="Times New Roman" w:eastAsia="新細明體" w:hAnsi="Times New Roman" w:cs="Times New Roman"/>
          <w:szCs w:val="24"/>
        </w:rPr>
      </w:pPr>
      <w:r w:rsidRPr="002F38CD">
        <w:rPr>
          <w:rFonts w:ascii="Times New Roman" w:hAnsi="Times New Roman"/>
          <w:szCs w:val="24"/>
        </w:rPr>
        <w:t>Y</w:t>
      </w:r>
      <w:r>
        <w:rPr>
          <w:rFonts w:ascii="Times New Roman" w:hAnsi="Times New Roman" w:hint="eastAsia"/>
          <w:szCs w:val="24"/>
        </w:rPr>
        <w:t>i</w:t>
      </w:r>
      <w:r w:rsidRPr="002F38CD">
        <w:rPr>
          <w:rFonts w:ascii="Times New Roman" w:hAnsi="Times New Roman"/>
          <w:szCs w:val="24"/>
        </w:rPr>
        <w:t>-H</w:t>
      </w:r>
      <w:r>
        <w:rPr>
          <w:rFonts w:ascii="Times New Roman" w:hAnsi="Times New Roman" w:hint="eastAsia"/>
          <w:szCs w:val="24"/>
        </w:rPr>
        <w:t>an</w:t>
      </w:r>
      <w:r w:rsidRPr="002F38CD">
        <w:rPr>
          <w:rFonts w:ascii="Times New Roman" w:hAnsi="Times New Roman"/>
          <w:szCs w:val="24"/>
        </w:rPr>
        <w:t xml:space="preserve"> C</w:t>
      </w:r>
      <w:r>
        <w:rPr>
          <w:rFonts w:ascii="Times New Roman" w:hAnsi="Times New Roman" w:hint="eastAsia"/>
          <w:szCs w:val="24"/>
        </w:rPr>
        <w:t>hiu</w:t>
      </w:r>
      <w:r>
        <w:rPr>
          <w:rFonts w:ascii="Times New Roman" w:eastAsia="新細明體" w:hAnsi="Times New Roman" w:cs="Times New Roman"/>
          <w:color w:val="000000"/>
          <w:szCs w:val="24"/>
          <w:vertAlign w:val="superscript"/>
        </w:rPr>
        <w:t>1,2</w:t>
      </w:r>
      <w:r>
        <w:rPr>
          <w:rFonts w:ascii="Times New Roman" w:hAnsi="Times New Roman"/>
          <w:szCs w:val="24"/>
        </w:rPr>
        <w:t>,</w:t>
      </w:r>
      <w:r w:rsidRPr="000D4711">
        <w:rPr>
          <w:rFonts w:ascii="Times New Roman" w:eastAsia="新細明體" w:hAnsi="Times New Roman" w:cs="Times New Roman"/>
          <w:color w:val="000000"/>
          <w:szCs w:val="24"/>
        </w:rPr>
        <w:t xml:space="preserve"> </w:t>
      </w:r>
      <w:r>
        <w:rPr>
          <w:rFonts w:ascii="Times New Roman" w:eastAsia="新細明體" w:hAnsi="Times New Roman" w:cs="Times New Roman"/>
          <w:szCs w:val="24"/>
        </w:rPr>
        <w:t>Kuo-Chin Huang</w:t>
      </w:r>
      <w:r>
        <w:rPr>
          <w:rFonts w:ascii="Times New Roman" w:eastAsia="新細明體" w:hAnsi="Times New Roman" w:cs="Times New Roman"/>
          <w:szCs w:val="24"/>
          <w:vertAlign w:val="superscript"/>
        </w:rPr>
        <w:t>3</w:t>
      </w:r>
      <w:r>
        <w:rPr>
          <w:rFonts w:ascii="Times New Roman" w:eastAsia="新細明體" w:hAnsi="Times New Roman" w:cs="Times New Roman"/>
          <w:szCs w:val="24"/>
        </w:rPr>
        <w:t>,</w:t>
      </w:r>
      <w:r w:rsidRPr="00F62827">
        <w:rPr>
          <w:rFonts w:ascii="Times New Roman" w:eastAsia="新細明體" w:hAnsi="Times New Roman" w:cs="Times New Roman"/>
          <w:szCs w:val="24"/>
        </w:rPr>
        <w:t xml:space="preserve"> </w:t>
      </w:r>
      <w:r>
        <w:rPr>
          <w:rFonts w:ascii="Times New Roman" w:eastAsia="新細明體" w:hAnsi="Times New Roman" w:cs="Times New Roman"/>
          <w:szCs w:val="24"/>
        </w:rPr>
        <w:t>Yen-Ching Lu</w:t>
      </w:r>
      <w:r>
        <w:rPr>
          <w:rFonts w:ascii="Times New Roman" w:eastAsia="新細明體" w:hAnsi="Times New Roman" w:cs="Times New Roman"/>
          <w:szCs w:val="24"/>
          <w:vertAlign w:val="superscript"/>
        </w:rPr>
        <w:t>1</w:t>
      </w:r>
      <w:r>
        <w:rPr>
          <w:rFonts w:ascii="Times New Roman" w:eastAsia="新細明體" w:hAnsi="Times New Roman" w:cs="Times New Roman"/>
          <w:szCs w:val="24"/>
        </w:rPr>
        <w:t>,</w:t>
      </w:r>
      <w:r>
        <w:rPr>
          <w:rFonts w:ascii="Times New Roman" w:eastAsia="新細明體" w:hAnsi="Times New Roman" w:cs="Times New Roman"/>
          <w:szCs w:val="24"/>
          <w:vertAlign w:val="superscript"/>
        </w:rPr>
        <w:t xml:space="preserve"> </w:t>
      </w:r>
      <w:r>
        <w:rPr>
          <w:rFonts w:ascii="Times New Roman" w:eastAsia="新細明體" w:hAnsi="Times New Roman" w:cs="Times New Roman"/>
          <w:szCs w:val="24"/>
        </w:rPr>
        <w:t>Jing-Ting Hsu</w:t>
      </w:r>
      <w:r>
        <w:rPr>
          <w:rFonts w:ascii="Times New Roman" w:eastAsia="新細明體" w:hAnsi="Times New Roman" w:cs="Times New Roman"/>
          <w:szCs w:val="24"/>
          <w:vertAlign w:val="superscript"/>
        </w:rPr>
        <w:t>1</w:t>
      </w:r>
      <w:r>
        <w:rPr>
          <w:rFonts w:ascii="Times New Roman" w:eastAsia="新細明體" w:hAnsi="Times New Roman" w:cs="Times New Roman"/>
          <w:szCs w:val="24"/>
        </w:rPr>
        <w:t>,</w:t>
      </w:r>
      <w:r>
        <w:rPr>
          <w:rFonts w:ascii="Times New Roman" w:eastAsia="新細明體" w:hAnsi="Times New Roman" w:cs="Times New Roman"/>
          <w:szCs w:val="24"/>
          <w:vertAlign w:val="superscript"/>
        </w:rPr>
        <w:t xml:space="preserve"> </w:t>
      </w:r>
      <w:r>
        <w:rPr>
          <w:rFonts w:ascii="Times New Roman" w:eastAsia="新細明體" w:hAnsi="Times New Roman" w:cs="Times New Roman"/>
          <w:szCs w:val="24"/>
        </w:rPr>
        <w:t>Jing-Ting Hsu</w:t>
      </w:r>
      <w:r>
        <w:rPr>
          <w:rFonts w:ascii="Times New Roman" w:eastAsia="新細明體" w:hAnsi="Times New Roman" w:cs="Times New Roman"/>
          <w:szCs w:val="24"/>
          <w:vertAlign w:val="superscript"/>
        </w:rPr>
        <w:t xml:space="preserve">1 </w:t>
      </w:r>
      <w:r>
        <w:rPr>
          <w:rFonts w:ascii="Times New Roman" w:eastAsia="新細明體" w:hAnsi="Times New Roman" w:cs="Times New Roman"/>
          <w:szCs w:val="24"/>
        </w:rPr>
        <w:t>,</w:t>
      </w:r>
      <w:r>
        <w:rPr>
          <w:rFonts w:ascii="Times New Roman" w:eastAsia="新細明體" w:hAnsi="Times New Roman" w:cs="Times New Roman"/>
          <w:szCs w:val="24"/>
        </w:rPr>
        <w:t xml:space="preserve"> </w:t>
      </w:r>
      <w:r>
        <w:rPr>
          <w:rFonts w:ascii="Times New Roman" w:eastAsia="新細明體" w:hAnsi="Times New Roman" w:cs="Times New Roman"/>
          <w:szCs w:val="24"/>
        </w:rPr>
        <w:t>Chih-Tung Liu</w:t>
      </w:r>
      <w:r>
        <w:rPr>
          <w:rFonts w:ascii="Times New Roman" w:eastAsia="新細明體" w:hAnsi="Times New Roman" w:cs="Times New Roman"/>
          <w:szCs w:val="24"/>
          <w:vertAlign w:val="superscript"/>
        </w:rPr>
        <w:t>1</w:t>
      </w:r>
      <w:r>
        <w:rPr>
          <w:rFonts w:ascii="Times New Roman" w:eastAsia="新細明體" w:hAnsi="Times New Roman" w:cs="Times New Roman"/>
          <w:szCs w:val="24"/>
        </w:rPr>
        <w:t>,</w:t>
      </w:r>
      <w:r>
        <w:rPr>
          <w:rFonts w:ascii="Times New Roman" w:eastAsia="新細明體" w:hAnsi="Times New Roman" w:cs="Times New Roman"/>
          <w:szCs w:val="24"/>
          <w:vertAlign w:val="superscript"/>
        </w:rPr>
        <w:t xml:space="preserve"> </w:t>
      </w:r>
      <w:r>
        <w:rPr>
          <w:rFonts w:ascii="Times New Roman" w:eastAsia="新細明體" w:hAnsi="Times New Roman" w:cs="Times New Roman"/>
          <w:szCs w:val="24"/>
        </w:rPr>
        <w:t>Yi-Tzu Chen</w:t>
      </w:r>
      <w:r>
        <w:rPr>
          <w:rFonts w:ascii="Times New Roman" w:eastAsia="新細明體" w:hAnsi="Times New Roman" w:cs="Times New Roman"/>
          <w:szCs w:val="24"/>
          <w:vertAlign w:val="superscript"/>
        </w:rPr>
        <w:t>1</w:t>
      </w:r>
    </w:p>
    <w:p w:rsidR="00BB71D2" w:rsidRDefault="00BB71D2" w:rsidP="0034079B">
      <w:pPr>
        <w:jc w:val="center"/>
        <w:rPr>
          <w:rFonts w:ascii="Times New Roman" w:eastAsia="新細明體" w:hAnsi="Times New Roman" w:cs="Times New Roman"/>
          <w:color w:val="000000"/>
          <w:kern w:val="0"/>
          <w:szCs w:val="24"/>
          <w:vertAlign w:val="superscript"/>
          <w:lang w:val="en-GB"/>
        </w:rPr>
      </w:pPr>
    </w:p>
    <w:p w:rsidR="00BB71D2" w:rsidRDefault="00BB71D2" w:rsidP="00BB71D2">
      <w:pPr>
        <w:rPr>
          <w:rFonts w:ascii="Times New Roman" w:eastAsia="SimSun" w:hAnsi="Times New Roman"/>
          <w:noProof/>
          <w:szCs w:val="24"/>
        </w:rPr>
      </w:pPr>
      <w:r>
        <w:rPr>
          <w:rFonts w:ascii="Times New Roman" w:eastAsia="新細明體" w:hAnsi="Times New Roman" w:cs="Times New Roman"/>
          <w:color w:val="000000"/>
          <w:kern w:val="0"/>
          <w:szCs w:val="24"/>
          <w:vertAlign w:val="superscript"/>
          <w:lang w:val="en-GB"/>
        </w:rPr>
        <w:t>1</w:t>
      </w:r>
      <w:r>
        <w:rPr>
          <w:rFonts w:ascii="Times New Roman" w:eastAsia="新細明體" w:hAnsi="Times New Roman" w:cs="Times New Roman" w:hint="eastAsia"/>
          <w:color w:val="000000"/>
          <w:kern w:val="0"/>
          <w:szCs w:val="24"/>
          <w:vertAlign w:val="superscript"/>
          <w:lang w:val="en-GB"/>
        </w:rPr>
        <w:t xml:space="preserve"> </w:t>
      </w:r>
      <w:r w:rsidRPr="002F38CD">
        <w:rPr>
          <w:rFonts w:ascii="Times New Roman" w:eastAsia="SimSun" w:hAnsi="Times New Roman"/>
          <w:noProof/>
          <w:szCs w:val="24"/>
        </w:rPr>
        <w:t>Department of Nursing, St. Mary's Junior College of Medicine, Nursing and Management, Yilan</w:t>
      </w:r>
      <w:r w:rsidRPr="005C28AD">
        <w:rPr>
          <w:rFonts w:ascii="Times New Roman" w:eastAsia="SimSun" w:hAnsi="Times New Roman"/>
          <w:noProof/>
          <w:szCs w:val="24"/>
        </w:rPr>
        <w:t>, Taiwan</w:t>
      </w:r>
    </w:p>
    <w:p w:rsidR="00BB71D2" w:rsidRPr="00450FCF" w:rsidRDefault="00BB71D2" w:rsidP="00BB71D2">
      <w:pPr>
        <w:rPr>
          <w:rFonts w:ascii="Times New Roman" w:eastAsia="新細明體" w:hAnsi="Times New Roman" w:cs="Times New Roman"/>
          <w:color w:val="000000"/>
          <w:szCs w:val="24"/>
        </w:rPr>
      </w:pPr>
      <w:r>
        <w:rPr>
          <w:rFonts w:ascii="Times New Roman" w:eastAsia="新細明體" w:hAnsi="Times New Roman" w:cs="Times New Roman"/>
          <w:color w:val="000000"/>
          <w:szCs w:val="24"/>
          <w:vertAlign w:val="superscript"/>
        </w:rPr>
        <w:t>2</w:t>
      </w:r>
      <w:r w:rsidRPr="00450FCF">
        <w:rPr>
          <w:rFonts w:ascii="Times New Roman" w:eastAsia="新細明體" w:hAnsi="Times New Roman" w:cs="Times New Roman"/>
          <w:color w:val="000000"/>
          <w:szCs w:val="24"/>
        </w:rPr>
        <w:t xml:space="preserve"> </w:t>
      </w:r>
      <w:r w:rsidR="00450FCF" w:rsidRPr="00450FCF">
        <w:rPr>
          <w:rFonts w:ascii="Times New Roman" w:eastAsia="新細明體" w:hAnsi="Times New Roman" w:cs="Times New Roman"/>
          <w:color w:val="000000"/>
          <w:szCs w:val="24"/>
        </w:rPr>
        <w:t xml:space="preserve">Institute </w:t>
      </w:r>
      <w:r w:rsidR="00450FCF">
        <w:rPr>
          <w:rFonts w:ascii="Times New Roman" w:eastAsia="新細明體" w:hAnsi="Times New Roman" w:cs="Times New Roman"/>
          <w:color w:val="000000"/>
          <w:szCs w:val="24"/>
        </w:rPr>
        <w:t xml:space="preserve">of Long-term Care, </w:t>
      </w:r>
      <w:r w:rsidR="00450FCF" w:rsidRPr="00450FCF">
        <w:rPr>
          <w:rFonts w:ascii="Times New Roman" w:hAnsi="Times New Roman" w:cs="Times New Roman"/>
          <w:color w:val="000000"/>
          <w:spacing w:val="15"/>
          <w:szCs w:val="24"/>
        </w:rPr>
        <w:t>Mackay Medical College</w:t>
      </w:r>
      <w:r w:rsidR="00450FCF">
        <w:rPr>
          <w:rFonts w:ascii="Times New Roman" w:hAnsi="Times New Roman" w:cs="Times New Roman"/>
          <w:color w:val="000000"/>
          <w:spacing w:val="15"/>
          <w:szCs w:val="24"/>
        </w:rPr>
        <w:t>, New Taipei City, Taiwan</w:t>
      </w:r>
    </w:p>
    <w:p w:rsidR="00BB71D2" w:rsidRPr="00450FCF" w:rsidRDefault="00BB71D2" w:rsidP="00BB71D2">
      <w:pPr>
        <w:rPr>
          <w:rFonts w:ascii="Times New Roman" w:eastAsia="新細明體" w:hAnsi="Times New Roman" w:cs="Times New Roman" w:hint="eastAsia"/>
          <w:color w:val="000000"/>
          <w:szCs w:val="24"/>
        </w:rPr>
      </w:pPr>
      <w:r>
        <w:rPr>
          <w:rFonts w:ascii="Times New Roman" w:eastAsia="新細明體" w:hAnsi="Times New Roman" w:cs="Times New Roman"/>
          <w:color w:val="000000"/>
          <w:szCs w:val="24"/>
          <w:vertAlign w:val="superscript"/>
        </w:rPr>
        <w:t>3</w:t>
      </w:r>
      <w:r w:rsidR="00450FCF">
        <w:rPr>
          <w:rFonts w:ascii="Times New Roman" w:eastAsia="新細明體" w:hAnsi="Times New Roman" w:cs="Times New Roman"/>
          <w:color w:val="000000"/>
          <w:szCs w:val="24"/>
          <w:vertAlign w:val="superscript"/>
        </w:rPr>
        <w:t xml:space="preserve"> </w:t>
      </w:r>
      <w:r w:rsidR="00685910" w:rsidRPr="00685910">
        <w:rPr>
          <w:rFonts w:ascii="Times New Roman" w:eastAsia="新細明體" w:hAnsi="Times New Roman" w:cs="Times New Roman"/>
          <w:color w:val="000000"/>
          <w:szCs w:val="24"/>
        </w:rPr>
        <w:t>Holistic Education Center</w:t>
      </w:r>
      <w:r w:rsidR="00685910">
        <w:rPr>
          <w:rFonts w:ascii="Times New Roman" w:hAnsi="Times New Roman" w:cs="Times New Roman"/>
          <w:color w:val="000000"/>
          <w:spacing w:val="15"/>
          <w:szCs w:val="24"/>
        </w:rPr>
        <w:t xml:space="preserve">, </w:t>
      </w:r>
      <w:bookmarkStart w:id="0" w:name="_GoBack"/>
      <w:bookmarkEnd w:id="0"/>
      <w:r w:rsidR="00450FCF" w:rsidRPr="00450FCF">
        <w:rPr>
          <w:rFonts w:ascii="Times New Roman" w:hAnsi="Times New Roman" w:cs="Times New Roman"/>
          <w:color w:val="000000"/>
          <w:spacing w:val="15"/>
          <w:szCs w:val="24"/>
        </w:rPr>
        <w:t>Mackay Medical College</w:t>
      </w:r>
      <w:r w:rsidR="00450FCF">
        <w:rPr>
          <w:rFonts w:ascii="Times New Roman" w:hAnsi="Times New Roman" w:cs="Times New Roman"/>
          <w:color w:val="000000"/>
          <w:spacing w:val="15"/>
          <w:szCs w:val="24"/>
        </w:rPr>
        <w:t>, New Taipei City, Taiwan</w:t>
      </w:r>
    </w:p>
    <w:p w:rsidR="00BB71D2" w:rsidRDefault="00BB71D2" w:rsidP="0034079B">
      <w:pPr>
        <w:jc w:val="center"/>
        <w:rPr>
          <w:rFonts w:ascii="Times New Roman" w:hAnsi="Times New Roman" w:cs="Times New Roman" w:hint="eastAsia"/>
          <w:b/>
          <w:bCs/>
        </w:rPr>
      </w:pPr>
    </w:p>
    <w:p w:rsidR="0034079B" w:rsidRPr="0034079B" w:rsidRDefault="007B1ECF" w:rsidP="0034079B">
      <w:pPr>
        <w:jc w:val="center"/>
        <w:rPr>
          <w:rFonts w:ascii="Times New Roman" w:hAnsi="Times New Roman" w:cs="Times New Roman"/>
          <w:b/>
          <w:bCs/>
        </w:rPr>
      </w:pPr>
      <w:r w:rsidRPr="0034079B">
        <w:rPr>
          <w:rFonts w:ascii="Times New Roman" w:hAnsi="Times New Roman" w:cs="Times New Roman"/>
          <w:b/>
          <w:bCs/>
        </w:rPr>
        <w:t>ABSTRACT</w:t>
      </w:r>
    </w:p>
    <w:p w:rsidR="00BB71D2" w:rsidRDefault="00BB71D2" w:rsidP="00BB71D2">
      <w:pPr>
        <w:autoSpaceDE w:val="0"/>
        <w:autoSpaceDN w:val="0"/>
        <w:adjustRightInd w:val="0"/>
        <w:spacing w:afterLines="50" w:after="180" w:line="360" w:lineRule="auto"/>
        <w:jc w:val="both"/>
        <w:rPr>
          <w:rFonts w:ascii="Times New Roman" w:hAnsi="Times New Roman" w:cs="Times New Roman"/>
        </w:rPr>
      </w:pPr>
      <w:r w:rsidRPr="00C70FA1">
        <w:rPr>
          <w:rFonts w:ascii="Times New Roman" w:eastAsia="AdvOTb92eb7df.I" w:hAnsi="Times New Roman" w:cs="Times New Roman"/>
          <w:i/>
          <w:kern w:val="0"/>
          <w:szCs w:val="24"/>
        </w:rPr>
        <w:t>Background &amp; aims:</w:t>
      </w:r>
      <w:r>
        <w:rPr>
          <w:rFonts w:ascii="Times New Roman" w:eastAsia="Times New Roman PS" w:hAnsi="Times New Roman" w:cs="Times New Roman"/>
          <w:kern w:val="0"/>
          <w:szCs w:val="24"/>
        </w:rPr>
        <w:t xml:space="preserve"> </w:t>
      </w:r>
      <w:r w:rsidRPr="002703FF">
        <w:rPr>
          <w:rFonts w:ascii="Times New Roman" w:eastAsia="Times New Roman PS" w:hAnsi="Times New Roman" w:cs="Times New Roman"/>
          <w:kern w:val="0"/>
          <w:szCs w:val="24"/>
        </w:rPr>
        <w:t>Non-small-cell lung cancer (NSCLC),</w:t>
      </w:r>
      <w:r w:rsidRPr="002703FF">
        <w:rPr>
          <w:rFonts w:ascii="Times New Roman" w:hAnsi="Times New Roman" w:cs="Times New Roman"/>
        </w:rPr>
        <w:t xml:space="preserve"> </w:t>
      </w:r>
      <w:r w:rsidRPr="002703FF">
        <w:rPr>
          <w:rFonts w:ascii="Times New Roman" w:hAnsi="Times New Roman" w:cs="Times New Roman"/>
          <w:shd w:val="clear" w:color="auto" w:fill="FFFFFF"/>
        </w:rPr>
        <w:t>the </w:t>
      </w:r>
      <w:r w:rsidRPr="002703FF">
        <w:rPr>
          <w:rStyle w:val="a9"/>
          <w:rFonts w:ascii="Times New Roman" w:hAnsi="Times New Roman" w:cs="Times New Roman"/>
          <w:i w:val="0"/>
          <w:iCs w:val="0"/>
          <w:shd w:val="clear" w:color="auto" w:fill="FFFFFF"/>
        </w:rPr>
        <w:t>most common</w:t>
      </w:r>
      <w:r w:rsidRPr="002703FF">
        <w:rPr>
          <w:rFonts w:ascii="Times New Roman" w:hAnsi="Times New Roman" w:cs="Times New Roman"/>
          <w:shd w:val="clear" w:color="auto" w:fill="FFFFFF"/>
        </w:rPr>
        <w:t> form of lung cancers,</w:t>
      </w:r>
      <w:r w:rsidRPr="002703FF">
        <w:rPr>
          <w:rFonts w:ascii="Times New Roman" w:hAnsi="Times New Roman" w:cs="Times New Roman"/>
        </w:rPr>
        <w:t xml:space="preserve"> causes high mortality. R</w:t>
      </w:r>
      <w:r w:rsidRPr="002703FF">
        <w:rPr>
          <w:rFonts w:ascii="Times New Roman" w:hAnsi="Times New Roman" w:cs="Times New Roman"/>
          <w:szCs w:val="24"/>
          <w:shd w:val="clear" w:color="auto" w:fill="FFFFFF"/>
        </w:rPr>
        <w:t>adiotherapy</w:t>
      </w:r>
      <w:r w:rsidRPr="002703FF">
        <w:rPr>
          <w:rFonts w:ascii="Times New Roman" w:hAnsi="Times New Roman" w:cs="Times New Roman"/>
        </w:rPr>
        <w:t xml:space="preserve"> is </w:t>
      </w:r>
      <w:r w:rsidRPr="002703FF">
        <w:rPr>
          <w:rFonts w:ascii="Times New Roman" w:hAnsi="Times New Roman" w:cs="Times New Roman"/>
          <w:szCs w:val="24"/>
          <w:shd w:val="clear" w:color="auto" w:fill="FFFFFF"/>
        </w:rPr>
        <w:t>an induction regimen</w:t>
      </w:r>
      <w:r w:rsidRPr="002703FF">
        <w:rPr>
          <w:rFonts w:ascii="Times New Roman" w:hAnsi="Times New Roman" w:cs="Times New Roman"/>
        </w:rPr>
        <w:t xml:space="preserve"> generally applied to</w:t>
      </w:r>
      <w:r w:rsidRPr="002703FF">
        <w:rPr>
          <w:rFonts w:ascii="Times New Roman" w:hAnsi="Times New Roman" w:cs="Times New Roman"/>
          <w:szCs w:val="24"/>
          <w:shd w:val="clear" w:color="auto" w:fill="FFFFFF"/>
        </w:rPr>
        <w:t xml:space="preserve"> patients with</w:t>
      </w:r>
      <w:r w:rsidRPr="002703FF">
        <w:rPr>
          <w:rStyle w:val="apple-converted-space"/>
          <w:rFonts w:ascii="Times New Roman" w:hAnsi="Times New Roman"/>
          <w:szCs w:val="24"/>
          <w:shd w:val="clear" w:color="auto" w:fill="FFFFFF"/>
        </w:rPr>
        <w:t xml:space="preserve"> </w:t>
      </w:r>
      <w:r w:rsidRPr="002703FF">
        <w:rPr>
          <w:rFonts w:ascii="Times New Roman" w:eastAsia="Times New Roman PS" w:hAnsi="Times New Roman" w:cs="Times New Roman"/>
          <w:color w:val="000000"/>
          <w:kern w:val="0"/>
          <w:szCs w:val="24"/>
        </w:rPr>
        <w:t>NSCLC</w:t>
      </w:r>
      <w:r w:rsidRPr="002703FF">
        <w:rPr>
          <w:rFonts w:ascii="Times New Roman" w:hAnsi="Times New Roman" w:cs="Times New Roman"/>
          <w:szCs w:val="24"/>
          <w:shd w:val="clear" w:color="auto" w:fill="FFFFFF"/>
        </w:rPr>
        <w:t xml:space="preserve">. </w:t>
      </w:r>
      <w:r w:rsidRPr="002703FF">
        <w:rPr>
          <w:rFonts w:ascii="Times New Roman" w:hAnsi="Times New Roman" w:cs="Times New Roman"/>
          <w:kern w:val="0"/>
          <w:szCs w:val="24"/>
        </w:rPr>
        <w:t>In terms of total elimination of NSCLC,</w:t>
      </w:r>
      <w:r w:rsidRPr="002703FF" w:rsidDel="00EC2FC7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r w:rsidRPr="002703FF">
        <w:rPr>
          <w:rFonts w:ascii="Times New Roman" w:hAnsi="Times New Roman" w:cs="Times New Roman"/>
          <w:szCs w:val="24"/>
          <w:shd w:val="clear" w:color="auto" w:fill="FFFFFF"/>
        </w:rPr>
        <w:t xml:space="preserve">the treatment </w:t>
      </w:r>
      <w:r w:rsidRPr="002703FF">
        <w:rPr>
          <w:rFonts w:ascii="Times New Roman" w:hAnsi="Times New Roman" w:cs="Times New Roman"/>
          <w:i/>
          <w:szCs w:val="24"/>
          <w:shd w:val="clear" w:color="auto" w:fill="FFFFFF"/>
        </w:rPr>
        <w:t>per se</w:t>
      </w:r>
      <w:r w:rsidRPr="002703FF">
        <w:rPr>
          <w:rFonts w:ascii="Times New Roman" w:hAnsi="Times New Roman" w:cs="Times New Roman"/>
          <w:kern w:val="0"/>
          <w:szCs w:val="24"/>
        </w:rPr>
        <w:t xml:space="preserve"> has limited efficacy and often gives rise to unwanted side effects, for example, radioresistance, </w:t>
      </w:r>
      <w:r w:rsidRPr="002703FF">
        <w:rPr>
          <w:rFonts w:ascii="Times New Roman" w:hAnsi="Times New Roman" w:cs="Times New Roman"/>
        </w:rPr>
        <w:t>cachectic symptoms</w:t>
      </w:r>
      <w:r w:rsidRPr="002703FF">
        <w:rPr>
          <w:rFonts w:ascii="Times New Roman" w:hAnsi="Times New Roman" w:cs="Times New Roman"/>
          <w:kern w:val="0"/>
          <w:szCs w:val="24"/>
        </w:rPr>
        <w:t xml:space="preserve"> and distant metastasis</w:t>
      </w:r>
      <w:r w:rsidRPr="002703FF">
        <w:rPr>
          <w:rFonts w:ascii="Times New Roman" w:hAnsi="Times New Roman" w:cs="Times New Roman"/>
        </w:rPr>
        <w:t xml:space="preserve">. Total nutrition is a new trend in cancer therapy, which has been used to support cancer patients in radiotherapy because of an overall </w:t>
      </w:r>
      <w:r w:rsidRPr="002703FF">
        <w:rPr>
          <w:rFonts w:ascii="Times New Roman" w:hAnsi="Times New Roman" w:cs="Times New Roman"/>
          <w:bCs/>
        </w:rPr>
        <w:t>radiosensitizing effect</w:t>
      </w:r>
      <w:r w:rsidRPr="002703FF">
        <w:rPr>
          <w:rFonts w:ascii="Times New Roman" w:hAnsi="Times New Roman" w:cs="Times New Roman"/>
        </w:rPr>
        <w:t xml:space="preserve">. </w:t>
      </w:r>
    </w:p>
    <w:p w:rsidR="00BB71D2" w:rsidRPr="00BB71D2" w:rsidRDefault="00BB71D2" w:rsidP="00BB71D2">
      <w:pPr>
        <w:spacing w:line="360" w:lineRule="auto"/>
        <w:jc w:val="both"/>
        <w:rPr>
          <w:rFonts w:ascii="Times New Roman" w:eastAsia="AdvOT863180fb" w:hAnsi="Times New Roman" w:cs="Times New Roman"/>
          <w:kern w:val="0"/>
          <w:szCs w:val="24"/>
        </w:rPr>
      </w:pPr>
      <w:r w:rsidRPr="00BB71D2">
        <w:rPr>
          <w:rFonts w:ascii="Times New Roman" w:eastAsia="AdvOTb92eb7df.I" w:hAnsi="Times New Roman" w:cs="Times New Roman"/>
          <w:i/>
          <w:kern w:val="0"/>
          <w:szCs w:val="24"/>
        </w:rPr>
        <w:t xml:space="preserve">Methods: </w:t>
      </w:r>
      <w:r w:rsidRPr="00BB71D2">
        <w:rPr>
          <w:rFonts w:ascii="Times New Roman" w:eastAsia="新細明體" w:hAnsi="Times New Roman" w:cs="Times New Roman"/>
          <w:kern w:val="0"/>
          <w:szCs w:val="24"/>
        </w:rPr>
        <w:t xml:space="preserve">Male </w:t>
      </w:r>
      <w:r w:rsidRPr="00BB71D2">
        <w:rPr>
          <w:rFonts w:ascii="Times New Roman" w:eastAsia="Microsoft JhengHei UI" w:hAnsi="Times New Roman" w:cs="Times New Roman"/>
          <w:kern w:val="0"/>
          <w:szCs w:val="24"/>
        </w:rPr>
        <w:t>C57BL/6JNarl</w:t>
      </w:r>
      <w:r w:rsidRPr="00BB71D2">
        <w:rPr>
          <w:rFonts w:ascii="Times New Roman" w:eastAsia="新細明體" w:hAnsi="Times New Roman" w:cs="Times New Roman"/>
          <w:kern w:val="0"/>
          <w:szCs w:val="24"/>
        </w:rPr>
        <w:t xml:space="preserve"> mice</w:t>
      </w:r>
      <w:r w:rsidRPr="00BB71D2">
        <w:rPr>
          <w:rFonts w:ascii="Times New Roman" w:hAnsi="Times New Roman" w:cs="Times New Roman"/>
          <w:szCs w:val="24"/>
          <w:shd w:val="clear" w:color="auto" w:fill="FFFFFF"/>
        </w:rPr>
        <w:t xml:space="preserve"> were randomly divided into five groups: one group were treated with sham (control group), the one Lewis lung carcinoma-bearing </w:t>
      </w:r>
      <w:r w:rsidRPr="00BB71D2">
        <w:rPr>
          <w:rStyle w:val="highlight"/>
          <w:rFonts w:ascii="Times New Roman" w:hAnsi="Times New Roman" w:cs="Times New Roman"/>
          <w:szCs w:val="24"/>
          <w:shd w:val="clear" w:color="auto" w:fill="FFFFFF"/>
        </w:rPr>
        <w:t>group</w:t>
      </w:r>
      <w:r w:rsidRPr="00BB71D2">
        <w:rPr>
          <w:rFonts w:ascii="Times New Roman" w:hAnsi="Times New Roman" w:cs="Times New Roman"/>
          <w:szCs w:val="24"/>
          <w:shd w:val="clear" w:color="auto" w:fill="FFFFFF"/>
        </w:rPr>
        <w:t xml:space="preserve"> without any intervention</w:t>
      </w:r>
      <w:r w:rsidRPr="00BB71D2">
        <w:rPr>
          <w:rFonts w:ascii="Times New Roman" w:eastAsia="新細明體" w:hAnsi="Times New Roman" w:cs="Times New Roman"/>
          <w:szCs w:val="24"/>
        </w:rPr>
        <w:t xml:space="preserve"> (T</w:t>
      </w:r>
      <w:r w:rsidRPr="00BB71D2">
        <w:rPr>
          <w:rFonts w:ascii="Times New Roman" w:eastAsia="AdvGulliv-R" w:hAnsi="Times New Roman" w:cs="Times New Roman"/>
          <w:kern w:val="0"/>
          <w:szCs w:val="24"/>
        </w:rPr>
        <w:t xml:space="preserve"> group),</w:t>
      </w:r>
      <w:r w:rsidRPr="00BB71D2">
        <w:rPr>
          <w:rFonts w:ascii="Times New Roman" w:hAnsi="Times New Roman" w:cs="Times New Roman"/>
          <w:szCs w:val="24"/>
          <w:shd w:val="clear" w:color="auto" w:fill="FFFFFF"/>
        </w:rPr>
        <w:t xml:space="preserve"> three Lewis lung carcinoma-bearing groups receiving total nutrition formula administration (T+TNuF group), </w:t>
      </w:r>
      <w:r w:rsidRPr="00BB71D2">
        <w:rPr>
          <w:rFonts w:ascii="Times New Roman" w:eastAsia="新細明體" w:hAnsi="Times New Roman" w:cs="Times New Roman"/>
          <w:kern w:val="0"/>
          <w:szCs w:val="24"/>
        </w:rPr>
        <w:t>a local radiotherapy with daily fractions of 3 Gy in three fractions (T+R group)</w:t>
      </w:r>
      <w:r w:rsidRPr="00BB71D2">
        <w:rPr>
          <w:rFonts w:ascii="Times New Roman" w:hAnsi="Times New Roman" w:cs="Times New Roman"/>
          <w:szCs w:val="24"/>
          <w:shd w:val="clear" w:color="auto" w:fill="FFFFFF"/>
        </w:rPr>
        <w:t xml:space="preserve"> and </w:t>
      </w:r>
      <w:r w:rsidRPr="00BB71D2">
        <w:rPr>
          <w:rFonts w:ascii="Times New Roman" w:eastAsia="新細明體" w:hAnsi="Times New Roman" w:cs="Times New Roman"/>
          <w:szCs w:val="24"/>
        </w:rPr>
        <w:t>the combination of TNuF and radiotherapy (T+R +TNuF group),</w:t>
      </w:r>
      <w:r w:rsidRPr="00BB71D2">
        <w:rPr>
          <w:rFonts w:ascii="Times New Roman" w:hAnsi="Times New Roman" w:cs="Times New Roman"/>
          <w:szCs w:val="24"/>
          <w:shd w:val="clear" w:color="auto" w:fill="FFFFFF"/>
        </w:rPr>
        <w:t xml:space="preserve"> respectively. The </w:t>
      </w:r>
      <w:r w:rsidRPr="00BB71D2">
        <w:rPr>
          <w:rStyle w:val="highlight"/>
          <w:rFonts w:ascii="Times New Roman" w:hAnsi="Times New Roman" w:cs="Times New Roman"/>
          <w:szCs w:val="24"/>
          <w:shd w:val="clear" w:color="auto" w:fill="FFFFFF"/>
        </w:rPr>
        <w:t>mice</w:t>
      </w:r>
      <w:r w:rsidRPr="00BB71D2">
        <w:rPr>
          <w:rFonts w:ascii="Times New Roman" w:hAnsi="Times New Roman" w:cs="Times New Roman"/>
          <w:szCs w:val="24"/>
          <w:shd w:val="clear" w:color="auto" w:fill="FFFFFF"/>
        </w:rPr>
        <w:t> were monitored for the</w:t>
      </w:r>
      <w:r w:rsidRPr="00BB71D2">
        <w:rPr>
          <w:rFonts w:ascii="Times New Roman" w:hAnsi="Times New Roman" w:cs="Times New Roman"/>
          <w:kern w:val="0"/>
          <w:szCs w:val="24"/>
        </w:rPr>
        <w:t xml:space="preserve"> mean tumor volume, cachectic symptom and metastasis</w:t>
      </w:r>
      <w:r w:rsidRPr="00BB71D2">
        <w:rPr>
          <w:rFonts w:ascii="Times New Roman" w:hAnsi="Times New Roman" w:cs="Times New Roman"/>
          <w:szCs w:val="24"/>
          <w:shd w:val="clear" w:color="auto" w:fill="FFFFFF"/>
        </w:rPr>
        <w:t>. M</w:t>
      </w:r>
      <w:r w:rsidRPr="00BB71D2">
        <w:rPr>
          <w:rFonts w:ascii="Times New Roman" w:eastAsia="AdvOT863180fb" w:hAnsi="Times New Roman" w:cs="Times New Roman"/>
          <w:kern w:val="0"/>
          <w:szCs w:val="24"/>
        </w:rPr>
        <w:t xml:space="preserve">etastasis-related proteins were analyzed by </w:t>
      </w:r>
      <w:r w:rsidRPr="00BB71D2">
        <w:rPr>
          <w:rFonts w:ascii="Times New Roman" w:eastAsia="AdvGulliv-I" w:hAnsi="Times New Roman" w:cs="Times New Roman"/>
          <w:kern w:val="0"/>
          <w:szCs w:val="24"/>
          <w:lang w:eastAsia="de-DE"/>
        </w:rPr>
        <w:t>immunofluorescence assay</w:t>
      </w:r>
      <w:r w:rsidRPr="00BB71D2">
        <w:rPr>
          <w:rFonts w:ascii="Times New Roman" w:eastAsia="AdvOT863180fb" w:hAnsi="Times New Roman" w:cs="Times New Roman"/>
          <w:kern w:val="0"/>
          <w:szCs w:val="24"/>
        </w:rPr>
        <w:t xml:space="preserve">. ANOVAs were used for </w:t>
      </w:r>
      <w:r w:rsidRPr="00BB71D2">
        <w:rPr>
          <w:rFonts w:ascii="Times New Roman" w:eastAsia="AdvOT863180fb" w:hAnsi="Times New Roman" w:cs="Times New Roman"/>
          <w:kern w:val="0"/>
          <w:szCs w:val="24"/>
        </w:rPr>
        <w:lastRenderedPageBreak/>
        <w:t>statistical analysis.</w:t>
      </w:r>
    </w:p>
    <w:p w:rsidR="00BB71D2" w:rsidRDefault="00BB71D2" w:rsidP="00BB71D2">
      <w:pPr>
        <w:autoSpaceDE w:val="0"/>
        <w:autoSpaceDN w:val="0"/>
        <w:adjustRightInd w:val="0"/>
        <w:spacing w:afterLines="50" w:after="180" w:line="360" w:lineRule="auto"/>
        <w:jc w:val="both"/>
        <w:rPr>
          <w:rFonts w:ascii="Times New Roman" w:eastAsia="Times New Roman PS" w:hAnsi="Times New Roman" w:cs="Times New Roman"/>
          <w:color w:val="000000"/>
          <w:kern w:val="0"/>
          <w:szCs w:val="24"/>
        </w:rPr>
      </w:pPr>
      <w:r w:rsidRPr="003869BC">
        <w:rPr>
          <w:rFonts w:ascii="Times New Roman" w:eastAsia="AdvOTb92eb7df.I" w:hAnsi="Times New Roman" w:cs="Times New Roman"/>
          <w:i/>
          <w:kern w:val="0"/>
          <w:szCs w:val="24"/>
        </w:rPr>
        <w:t>Results:</w:t>
      </w:r>
      <w:r>
        <w:rPr>
          <w:rFonts w:ascii="AdvOTb92eb7df.I" w:eastAsia="AdvOTb92eb7df.I" w:cs="AdvOTb92eb7df.I"/>
          <w:kern w:val="0"/>
          <w:sz w:val="14"/>
          <w:szCs w:val="14"/>
        </w:rPr>
        <w:t xml:space="preserve"> </w:t>
      </w:r>
      <w:r w:rsidRPr="002703FF">
        <w:rPr>
          <w:rFonts w:ascii="Times New Roman" w:eastAsia="Times New Roman PS" w:hAnsi="Times New Roman" w:cs="Times New Roman"/>
          <w:color w:val="000000"/>
          <w:kern w:val="0"/>
          <w:szCs w:val="24"/>
        </w:rPr>
        <w:t xml:space="preserve">Our results showed that the oral TNuF administration significantly suppressed tumor growth while activated apoptotic cell death in NSCLC-bearing mice under radiation. The TNuF supplement is shown able to </w:t>
      </w:r>
      <w:r w:rsidRPr="002703FF">
        <w:rPr>
          <w:rFonts w:ascii="Times New Roman" w:hAnsi="Times New Roman" w:cs="Times New Roman"/>
        </w:rPr>
        <w:t>increase body weight gain</w:t>
      </w:r>
      <w:r w:rsidRPr="002703FF">
        <w:rPr>
          <w:rFonts w:ascii="Times New Roman" w:eastAsia="Times New Roman PS" w:hAnsi="Times New Roman" w:cs="Times New Roman"/>
          <w:color w:val="000000"/>
          <w:kern w:val="0"/>
          <w:szCs w:val="24"/>
        </w:rPr>
        <w:t xml:space="preserve"> and mitigate radiation-induced cachexia. Molecular mechanism analysis revealed that TNuF downregulates EGFR</w:t>
      </w:r>
      <w:r w:rsidRPr="002703FF" w:rsidDel="001B3F4C">
        <w:rPr>
          <w:rFonts w:ascii="Times New Roman" w:eastAsia="Times New Roman PS" w:hAnsi="Times New Roman" w:cs="Times New Roman"/>
          <w:color w:val="000000"/>
          <w:kern w:val="0"/>
          <w:szCs w:val="24"/>
        </w:rPr>
        <w:t xml:space="preserve"> </w:t>
      </w:r>
      <w:r w:rsidRPr="002703FF">
        <w:rPr>
          <w:rFonts w:ascii="Times New Roman" w:eastAsia="Times New Roman PS" w:hAnsi="Times New Roman" w:cs="Times New Roman"/>
          <w:color w:val="000000"/>
          <w:kern w:val="0"/>
          <w:szCs w:val="24"/>
        </w:rPr>
        <w:t xml:space="preserve">and VEGF signaling pathways in tumor and lungs. The fact is that the expression of EGFR and VEGF was inhibited, resulting in inhibition of angiogenesis and metastasis. </w:t>
      </w:r>
    </w:p>
    <w:p w:rsidR="00BB71D2" w:rsidRPr="00424582" w:rsidRDefault="00BB71D2" w:rsidP="00BB71D2">
      <w:pPr>
        <w:autoSpaceDE w:val="0"/>
        <w:autoSpaceDN w:val="0"/>
        <w:adjustRightInd w:val="0"/>
        <w:spacing w:afterLines="50" w:after="180" w:line="360" w:lineRule="auto"/>
        <w:jc w:val="both"/>
        <w:rPr>
          <w:rFonts w:ascii="Times New Roman" w:eastAsia="新細明體" w:hAnsi="Times New Roman" w:cs="Times New Roman"/>
          <w:kern w:val="0"/>
          <w:szCs w:val="24"/>
        </w:rPr>
      </w:pPr>
      <w:r w:rsidRPr="00CB11C5">
        <w:rPr>
          <w:rFonts w:ascii="Times New Roman" w:eastAsia="AdvOTb92eb7df.I" w:hAnsi="Times New Roman" w:cs="Times New Roman"/>
          <w:i/>
          <w:kern w:val="0"/>
          <w:szCs w:val="24"/>
        </w:rPr>
        <w:t xml:space="preserve">Conclusion: </w:t>
      </w:r>
      <w:r w:rsidRPr="002703FF">
        <w:rPr>
          <w:rFonts w:ascii="Times New Roman" w:eastAsia="Times New Roman PS" w:hAnsi="Times New Roman" w:cs="Times New Roman"/>
          <w:color w:val="000000"/>
          <w:kern w:val="0"/>
          <w:szCs w:val="24"/>
        </w:rPr>
        <w:t>TNuF can enhance radiation-induced tumor death, mitigate radiation-induced cachexia and inhibit tumor cell distant metastasis through downregulation of EGFR and VEGF signaling pathways in NSCLC-bearing mice, suggesting that TNuF is an effective therapeutic supplement in synergy with NSCLC radiotherapy.</w:t>
      </w:r>
    </w:p>
    <w:p w:rsidR="0034079B" w:rsidRPr="0034079B" w:rsidRDefault="00BB71D2" w:rsidP="00BB71D2">
      <w:pPr>
        <w:jc w:val="center"/>
        <w:rPr>
          <w:rFonts w:ascii="Times New Roman" w:hAnsi="Times New Roman" w:cs="Times New Roman"/>
          <w:b/>
          <w:bCs/>
        </w:rPr>
      </w:pPr>
      <w:r w:rsidRPr="001E4BE7">
        <w:rPr>
          <w:rFonts w:ascii="Times New Roman" w:eastAsia="Times New Roman PS" w:hAnsi="Times New Roman" w:cs="Times New Roman"/>
          <w:bCs/>
          <w:i/>
          <w:color w:val="000000"/>
          <w:kern w:val="0"/>
          <w:szCs w:val="24"/>
        </w:rPr>
        <w:t>Keywords:</w:t>
      </w:r>
      <w:r w:rsidRPr="002703FF">
        <w:rPr>
          <w:rFonts w:ascii="Times New Roman" w:eastAsia="Times New Roman PS" w:hAnsi="Times New Roman" w:cs="Times New Roman"/>
          <w:b/>
          <w:bCs/>
          <w:color w:val="000000"/>
          <w:kern w:val="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Cs w:val="24"/>
        </w:rPr>
        <w:t>n</w:t>
      </w:r>
      <w:r w:rsidRPr="002703FF">
        <w:rPr>
          <w:rFonts w:ascii="Times New Roman" w:eastAsia="Times New Roman PS" w:hAnsi="Times New Roman" w:cs="Times New Roman"/>
          <w:color w:val="000000"/>
          <w:kern w:val="0"/>
          <w:szCs w:val="24"/>
        </w:rPr>
        <w:t>on-small-cell lung cancer</w:t>
      </w:r>
      <w:r>
        <w:rPr>
          <w:rFonts w:ascii="Times New Roman" w:hAnsi="Times New Roman" w:cs="Times New Roman"/>
          <w:color w:val="000000"/>
          <w:kern w:val="0"/>
          <w:szCs w:val="24"/>
        </w:rPr>
        <w:t>;</w:t>
      </w:r>
      <w:r w:rsidRPr="00272F24">
        <w:t xml:space="preserve"> </w:t>
      </w:r>
      <w:r w:rsidRPr="00272F24">
        <w:rPr>
          <w:rFonts w:ascii="Times New Roman" w:hAnsi="Times New Roman" w:cs="Times New Roman"/>
          <w:color w:val="000000"/>
          <w:kern w:val="0"/>
          <w:szCs w:val="24"/>
        </w:rPr>
        <w:t>radiotherapy</w:t>
      </w:r>
      <w:r w:rsidRPr="00272F24">
        <w:rPr>
          <w:rFonts w:ascii="Times New Roman" w:eastAsia="AdvGulliv-R" w:hAnsi="Times New Roman" w:cs="Times New Roman"/>
          <w:kern w:val="0"/>
          <w:szCs w:val="24"/>
        </w:rPr>
        <w:t xml:space="preserve">; </w:t>
      </w:r>
      <w:r>
        <w:rPr>
          <w:rFonts w:ascii="Times New Roman" w:eastAsia="AdvGulliv-R" w:hAnsi="Times New Roman" w:cs="Times New Roman"/>
          <w:kern w:val="0"/>
          <w:szCs w:val="24"/>
        </w:rPr>
        <w:t>r</w:t>
      </w:r>
      <w:r w:rsidRPr="002703FF">
        <w:rPr>
          <w:rFonts w:ascii="Times New Roman" w:eastAsia="AdvGulliv-R" w:hAnsi="Times New Roman" w:cs="Times New Roman"/>
          <w:kern w:val="0"/>
          <w:szCs w:val="24"/>
        </w:rPr>
        <w:t>adiosensitization</w:t>
      </w:r>
      <w:r>
        <w:rPr>
          <w:rFonts w:ascii="Times New Roman" w:hAnsi="Times New Roman" w:cs="Times New Roman"/>
          <w:color w:val="000000"/>
          <w:kern w:val="0"/>
          <w:szCs w:val="24"/>
        </w:rPr>
        <w:t>;</w:t>
      </w:r>
      <w:r w:rsidRPr="002703FF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>t</w:t>
      </w:r>
      <w:r w:rsidRPr="002703FF">
        <w:rPr>
          <w:rFonts w:ascii="Times New Roman" w:hAnsi="Times New Roman" w:cs="Times New Roman"/>
          <w:bCs/>
        </w:rPr>
        <w:t>otal nutrition formula</w:t>
      </w:r>
      <w:r>
        <w:rPr>
          <w:rFonts w:ascii="Times New Roman" w:hAnsi="Times New Roman" w:cs="Times New Roman"/>
          <w:bCs/>
        </w:rPr>
        <w:t>;</w:t>
      </w:r>
      <w:r w:rsidRPr="002703FF">
        <w:rPr>
          <w:rFonts w:ascii="Times New Roman" w:eastAsia="Times New Roman PS" w:hAnsi="Times New Roman" w:cs="Times New Roman"/>
          <w:color w:val="000000"/>
          <w:kern w:val="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Cs w:val="24"/>
        </w:rPr>
        <w:t>c</w:t>
      </w:r>
      <w:r w:rsidRPr="00272F24">
        <w:rPr>
          <w:rFonts w:ascii="Times New Roman" w:eastAsia="Times New Roman PS" w:hAnsi="Times New Roman" w:cs="Times New Roman"/>
          <w:color w:val="000000"/>
          <w:kern w:val="0"/>
          <w:szCs w:val="24"/>
        </w:rPr>
        <w:t>achexia</w:t>
      </w:r>
    </w:p>
    <w:p w:rsidR="006C4D3F" w:rsidRDefault="006C4D3F" w:rsidP="006C4D3F">
      <w:pPr>
        <w:autoSpaceDE w:val="0"/>
        <w:autoSpaceDN w:val="0"/>
        <w:adjustRightInd w:val="0"/>
        <w:rPr>
          <w:rFonts w:ascii="Times New Roman" w:eastAsia="AdvGulliv-R" w:hAnsi="Times New Roman" w:cs="Times New Roman"/>
        </w:rPr>
      </w:pPr>
    </w:p>
    <w:sectPr w:rsidR="006C4D3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4865" w:rsidRDefault="00BC4865" w:rsidP="00531390">
      <w:r>
        <w:separator/>
      </w:r>
    </w:p>
  </w:endnote>
  <w:endnote w:type="continuationSeparator" w:id="0">
    <w:p w:rsidR="00BC4865" w:rsidRDefault="00BC4865" w:rsidP="00531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OTb92eb7df.I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 New Roman PS">
    <w:altName w:val="新細明體"/>
    <w:charset w:val="00"/>
    <w:family w:val="roman"/>
    <w:pitch w:val="variable"/>
    <w:sig w:usb0="E0002AFF" w:usb1="C0007841" w:usb2="00000009" w:usb3="00000000" w:csb0="000001FF" w:csb1="00000000"/>
  </w:font>
  <w:font w:name="AdvOT863180fb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dvGulliv-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dvGulliv-I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4865" w:rsidRDefault="00BC4865" w:rsidP="00531390">
      <w:r>
        <w:separator/>
      </w:r>
    </w:p>
  </w:footnote>
  <w:footnote w:type="continuationSeparator" w:id="0">
    <w:p w:rsidR="00BC4865" w:rsidRDefault="00BC4865" w:rsidP="005313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9174B8"/>
    <w:multiLevelType w:val="hybridMultilevel"/>
    <w:tmpl w:val="936E7688"/>
    <w:lvl w:ilvl="0" w:tplc="4BDCC3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AB1B6B"/>
    <w:multiLevelType w:val="hybridMultilevel"/>
    <w:tmpl w:val="F39684FC"/>
    <w:lvl w:ilvl="0" w:tplc="C4C8C20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82E7A43"/>
    <w:multiLevelType w:val="hybridMultilevel"/>
    <w:tmpl w:val="4E2A2326"/>
    <w:lvl w:ilvl="0" w:tplc="126E601A">
      <w:start w:val="1"/>
      <w:numFmt w:val="upperLetter"/>
      <w:lvlText w:val="(%1)"/>
      <w:lvlJc w:val="left"/>
      <w:pPr>
        <w:ind w:left="360" w:hanging="360"/>
      </w:pPr>
      <w:rPr>
        <w:rFonts w:ascii="Calibri" w:eastAsia="新細明體" w:hAnsi="Calibri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79B"/>
    <w:rsid w:val="00000069"/>
    <w:rsid w:val="00001EB3"/>
    <w:rsid w:val="000051CA"/>
    <w:rsid w:val="00005392"/>
    <w:rsid w:val="00010505"/>
    <w:rsid w:val="0001768F"/>
    <w:rsid w:val="0002069B"/>
    <w:rsid w:val="0002244D"/>
    <w:rsid w:val="000226E6"/>
    <w:rsid w:val="0002534E"/>
    <w:rsid w:val="000301D6"/>
    <w:rsid w:val="00042131"/>
    <w:rsid w:val="000428AC"/>
    <w:rsid w:val="000438C2"/>
    <w:rsid w:val="000462BD"/>
    <w:rsid w:val="00046FE8"/>
    <w:rsid w:val="00053C31"/>
    <w:rsid w:val="000727E4"/>
    <w:rsid w:val="00074C54"/>
    <w:rsid w:val="000753AD"/>
    <w:rsid w:val="00077F99"/>
    <w:rsid w:val="00080B03"/>
    <w:rsid w:val="00083038"/>
    <w:rsid w:val="000849D1"/>
    <w:rsid w:val="000938DF"/>
    <w:rsid w:val="00095109"/>
    <w:rsid w:val="000A4F74"/>
    <w:rsid w:val="000B5516"/>
    <w:rsid w:val="000D3F1E"/>
    <w:rsid w:val="000E3250"/>
    <w:rsid w:val="000F3A00"/>
    <w:rsid w:val="00110C9C"/>
    <w:rsid w:val="00112A1D"/>
    <w:rsid w:val="00122F7F"/>
    <w:rsid w:val="0012623C"/>
    <w:rsid w:val="00132751"/>
    <w:rsid w:val="00134388"/>
    <w:rsid w:val="00135B1D"/>
    <w:rsid w:val="00141E64"/>
    <w:rsid w:val="00141FB7"/>
    <w:rsid w:val="001547E5"/>
    <w:rsid w:val="00160542"/>
    <w:rsid w:val="00162F13"/>
    <w:rsid w:val="00184868"/>
    <w:rsid w:val="00186862"/>
    <w:rsid w:val="00193ED8"/>
    <w:rsid w:val="0019431F"/>
    <w:rsid w:val="001A2A55"/>
    <w:rsid w:val="001A319D"/>
    <w:rsid w:val="001A3956"/>
    <w:rsid w:val="001B34B8"/>
    <w:rsid w:val="001B3E64"/>
    <w:rsid w:val="001C10DE"/>
    <w:rsid w:val="001C392C"/>
    <w:rsid w:val="001C4FEC"/>
    <w:rsid w:val="001D56B7"/>
    <w:rsid w:val="001D7843"/>
    <w:rsid w:val="001E4C02"/>
    <w:rsid w:val="001E6EA0"/>
    <w:rsid w:val="001E7DF7"/>
    <w:rsid w:val="001F1E4E"/>
    <w:rsid w:val="001F541B"/>
    <w:rsid w:val="001F561D"/>
    <w:rsid w:val="00204C1F"/>
    <w:rsid w:val="0021178C"/>
    <w:rsid w:val="0021183A"/>
    <w:rsid w:val="00215FC3"/>
    <w:rsid w:val="00216C46"/>
    <w:rsid w:val="0021710B"/>
    <w:rsid w:val="002238C6"/>
    <w:rsid w:val="00223B8E"/>
    <w:rsid w:val="00227A71"/>
    <w:rsid w:val="00230F45"/>
    <w:rsid w:val="00234052"/>
    <w:rsid w:val="00236D80"/>
    <w:rsid w:val="0023773E"/>
    <w:rsid w:val="00240BAA"/>
    <w:rsid w:val="00245A07"/>
    <w:rsid w:val="00246B9F"/>
    <w:rsid w:val="002473C6"/>
    <w:rsid w:val="00263297"/>
    <w:rsid w:val="002662D6"/>
    <w:rsid w:val="00274E56"/>
    <w:rsid w:val="00283C70"/>
    <w:rsid w:val="002A20D2"/>
    <w:rsid w:val="002A2ED4"/>
    <w:rsid w:val="002C249A"/>
    <w:rsid w:val="002E1FBB"/>
    <w:rsid w:val="002E3791"/>
    <w:rsid w:val="002E7DE6"/>
    <w:rsid w:val="00301875"/>
    <w:rsid w:val="00301BFC"/>
    <w:rsid w:val="003027C4"/>
    <w:rsid w:val="00304645"/>
    <w:rsid w:val="00314037"/>
    <w:rsid w:val="00322EBE"/>
    <w:rsid w:val="003250EA"/>
    <w:rsid w:val="00326463"/>
    <w:rsid w:val="00333474"/>
    <w:rsid w:val="00335BC2"/>
    <w:rsid w:val="00336C50"/>
    <w:rsid w:val="00337A76"/>
    <w:rsid w:val="0034079B"/>
    <w:rsid w:val="00344329"/>
    <w:rsid w:val="00346DE5"/>
    <w:rsid w:val="00347D42"/>
    <w:rsid w:val="00351A17"/>
    <w:rsid w:val="003535A2"/>
    <w:rsid w:val="00354F13"/>
    <w:rsid w:val="00361BFD"/>
    <w:rsid w:val="003624D7"/>
    <w:rsid w:val="00375ABA"/>
    <w:rsid w:val="003771B4"/>
    <w:rsid w:val="00377BB6"/>
    <w:rsid w:val="00377D12"/>
    <w:rsid w:val="00381AC2"/>
    <w:rsid w:val="003A6950"/>
    <w:rsid w:val="003A71F9"/>
    <w:rsid w:val="003B2E0D"/>
    <w:rsid w:val="003B424A"/>
    <w:rsid w:val="003B605D"/>
    <w:rsid w:val="003C75D2"/>
    <w:rsid w:val="003D7CD0"/>
    <w:rsid w:val="003E3D48"/>
    <w:rsid w:val="003E4B57"/>
    <w:rsid w:val="003F07E3"/>
    <w:rsid w:val="003F75FD"/>
    <w:rsid w:val="00400F29"/>
    <w:rsid w:val="00407953"/>
    <w:rsid w:val="00436143"/>
    <w:rsid w:val="0044479B"/>
    <w:rsid w:val="00444CBF"/>
    <w:rsid w:val="00450FCF"/>
    <w:rsid w:val="004565CB"/>
    <w:rsid w:val="00476BD7"/>
    <w:rsid w:val="00476C55"/>
    <w:rsid w:val="004868E8"/>
    <w:rsid w:val="00492FB6"/>
    <w:rsid w:val="004B56B7"/>
    <w:rsid w:val="004D0AEE"/>
    <w:rsid w:val="004E01DC"/>
    <w:rsid w:val="004E3B31"/>
    <w:rsid w:val="004E6E5D"/>
    <w:rsid w:val="004F6283"/>
    <w:rsid w:val="00507D05"/>
    <w:rsid w:val="0053038A"/>
    <w:rsid w:val="00531390"/>
    <w:rsid w:val="005333A1"/>
    <w:rsid w:val="00536862"/>
    <w:rsid w:val="00537F7A"/>
    <w:rsid w:val="00553238"/>
    <w:rsid w:val="00554DE3"/>
    <w:rsid w:val="00560571"/>
    <w:rsid w:val="005621CF"/>
    <w:rsid w:val="0056621A"/>
    <w:rsid w:val="00566632"/>
    <w:rsid w:val="00584A95"/>
    <w:rsid w:val="00586C82"/>
    <w:rsid w:val="005870DD"/>
    <w:rsid w:val="005919AF"/>
    <w:rsid w:val="005A6344"/>
    <w:rsid w:val="005A72AD"/>
    <w:rsid w:val="005B14BB"/>
    <w:rsid w:val="005C14EC"/>
    <w:rsid w:val="005C30BC"/>
    <w:rsid w:val="005C3AFE"/>
    <w:rsid w:val="005C5F2F"/>
    <w:rsid w:val="005C636E"/>
    <w:rsid w:val="005C6E1E"/>
    <w:rsid w:val="005D4A18"/>
    <w:rsid w:val="005E1ECC"/>
    <w:rsid w:val="005E2DC6"/>
    <w:rsid w:val="005E4FAE"/>
    <w:rsid w:val="005E7551"/>
    <w:rsid w:val="005E7B04"/>
    <w:rsid w:val="005F3704"/>
    <w:rsid w:val="005F774C"/>
    <w:rsid w:val="00603D5A"/>
    <w:rsid w:val="006053EF"/>
    <w:rsid w:val="006107F7"/>
    <w:rsid w:val="00610F7E"/>
    <w:rsid w:val="0061188A"/>
    <w:rsid w:val="00611B83"/>
    <w:rsid w:val="00614889"/>
    <w:rsid w:val="006177E6"/>
    <w:rsid w:val="00635A33"/>
    <w:rsid w:val="00635BF8"/>
    <w:rsid w:val="006401AD"/>
    <w:rsid w:val="0065201E"/>
    <w:rsid w:val="00656780"/>
    <w:rsid w:val="00663E6F"/>
    <w:rsid w:val="00667C75"/>
    <w:rsid w:val="0067280F"/>
    <w:rsid w:val="00674B1E"/>
    <w:rsid w:val="0067767F"/>
    <w:rsid w:val="006810E0"/>
    <w:rsid w:val="00685910"/>
    <w:rsid w:val="00691241"/>
    <w:rsid w:val="00692D81"/>
    <w:rsid w:val="006A2943"/>
    <w:rsid w:val="006A5568"/>
    <w:rsid w:val="006A5BE1"/>
    <w:rsid w:val="006B3ACE"/>
    <w:rsid w:val="006C4D3F"/>
    <w:rsid w:val="006C5D16"/>
    <w:rsid w:val="006E30FF"/>
    <w:rsid w:val="006E61A0"/>
    <w:rsid w:val="007046C5"/>
    <w:rsid w:val="00710399"/>
    <w:rsid w:val="00713A5F"/>
    <w:rsid w:val="00736D93"/>
    <w:rsid w:val="007370E7"/>
    <w:rsid w:val="00740222"/>
    <w:rsid w:val="00741606"/>
    <w:rsid w:val="00742FA7"/>
    <w:rsid w:val="0075209E"/>
    <w:rsid w:val="0075697B"/>
    <w:rsid w:val="00760BB9"/>
    <w:rsid w:val="00764399"/>
    <w:rsid w:val="00765A99"/>
    <w:rsid w:val="00773DA0"/>
    <w:rsid w:val="00774D9B"/>
    <w:rsid w:val="007808DC"/>
    <w:rsid w:val="00781217"/>
    <w:rsid w:val="00782293"/>
    <w:rsid w:val="007856B7"/>
    <w:rsid w:val="00794D72"/>
    <w:rsid w:val="007A4453"/>
    <w:rsid w:val="007A4FAB"/>
    <w:rsid w:val="007B1ECF"/>
    <w:rsid w:val="007C59C8"/>
    <w:rsid w:val="007C670D"/>
    <w:rsid w:val="007C7C36"/>
    <w:rsid w:val="007E785A"/>
    <w:rsid w:val="00806653"/>
    <w:rsid w:val="00811A18"/>
    <w:rsid w:val="008142E6"/>
    <w:rsid w:val="0081632E"/>
    <w:rsid w:val="00825BDA"/>
    <w:rsid w:val="00834F08"/>
    <w:rsid w:val="00836A3D"/>
    <w:rsid w:val="00840ABB"/>
    <w:rsid w:val="0084435C"/>
    <w:rsid w:val="00872922"/>
    <w:rsid w:val="00873BC1"/>
    <w:rsid w:val="0087790C"/>
    <w:rsid w:val="00877C7F"/>
    <w:rsid w:val="00881B7C"/>
    <w:rsid w:val="00890688"/>
    <w:rsid w:val="0089454F"/>
    <w:rsid w:val="008A2A9A"/>
    <w:rsid w:val="008A53F0"/>
    <w:rsid w:val="008C02DF"/>
    <w:rsid w:val="008C6DFF"/>
    <w:rsid w:val="008D0532"/>
    <w:rsid w:val="008D4BA2"/>
    <w:rsid w:val="008D6CB9"/>
    <w:rsid w:val="008D759C"/>
    <w:rsid w:val="008E5179"/>
    <w:rsid w:val="008E71F0"/>
    <w:rsid w:val="008F5764"/>
    <w:rsid w:val="0091294D"/>
    <w:rsid w:val="00916D55"/>
    <w:rsid w:val="00916DD1"/>
    <w:rsid w:val="00917C8C"/>
    <w:rsid w:val="0092450C"/>
    <w:rsid w:val="00925F7B"/>
    <w:rsid w:val="00937425"/>
    <w:rsid w:val="0094165E"/>
    <w:rsid w:val="00941C3A"/>
    <w:rsid w:val="009451AF"/>
    <w:rsid w:val="00947BD7"/>
    <w:rsid w:val="009513FC"/>
    <w:rsid w:val="00956814"/>
    <w:rsid w:val="00964106"/>
    <w:rsid w:val="00971FC0"/>
    <w:rsid w:val="00975D83"/>
    <w:rsid w:val="009818BE"/>
    <w:rsid w:val="00991255"/>
    <w:rsid w:val="0099798F"/>
    <w:rsid w:val="009A3179"/>
    <w:rsid w:val="009C48D5"/>
    <w:rsid w:val="009C557A"/>
    <w:rsid w:val="009E0469"/>
    <w:rsid w:val="009E294B"/>
    <w:rsid w:val="009E2F04"/>
    <w:rsid w:val="009E7D00"/>
    <w:rsid w:val="009F04ED"/>
    <w:rsid w:val="009F5224"/>
    <w:rsid w:val="009F694A"/>
    <w:rsid w:val="00A0601D"/>
    <w:rsid w:val="00A21777"/>
    <w:rsid w:val="00A21F0F"/>
    <w:rsid w:val="00A311F4"/>
    <w:rsid w:val="00A346F0"/>
    <w:rsid w:val="00A357A4"/>
    <w:rsid w:val="00A40181"/>
    <w:rsid w:val="00A509CB"/>
    <w:rsid w:val="00A52120"/>
    <w:rsid w:val="00A54A97"/>
    <w:rsid w:val="00A57639"/>
    <w:rsid w:val="00A62744"/>
    <w:rsid w:val="00A70566"/>
    <w:rsid w:val="00A76BDE"/>
    <w:rsid w:val="00A9009A"/>
    <w:rsid w:val="00AA5AE4"/>
    <w:rsid w:val="00AB1577"/>
    <w:rsid w:val="00AC5AE1"/>
    <w:rsid w:val="00AC6D16"/>
    <w:rsid w:val="00AC790E"/>
    <w:rsid w:val="00AD11C7"/>
    <w:rsid w:val="00AE3667"/>
    <w:rsid w:val="00AE43CF"/>
    <w:rsid w:val="00AE73E4"/>
    <w:rsid w:val="00AF1902"/>
    <w:rsid w:val="00AF30F4"/>
    <w:rsid w:val="00AF3122"/>
    <w:rsid w:val="00B121BB"/>
    <w:rsid w:val="00B23365"/>
    <w:rsid w:val="00B404F0"/>
    <w:rsid w:val="00B467D8"/>
    <w:rsid w:val="00B556F2"/>
    <w:rsid w:val="00B64681"/>
    <w:rsid w:val="00B7489B"/>
    <w:rsid w:val="00B77A13"/>
    <w:rsid w:val="00B8670C"/>
    <w:rsid w:val="00B9234E"/>
    <w:rsid w:val="00B97BF6"/>
    <w:rsid w:val="00BA0CF5"/>
    <w:rsid w:val="00BA119D"/>
    <w:rsid w:val="00BA6EB1"/>
    <w:rsid w:val="00BB0635"/>
    <w:rsid w:val="00BB71D2"/>
    <w:rsid w:val="00BC1C21"/>
    <w:rsid w:val="00BC29FA"/>
    <w:rsid w:val="00BC2D8F"/>
    <w:rsid w:val="00BC4865"/>
    <w:rsid w:val="00BE0617"/>
    <w:rsid w:val="00BE0CEE"/>
    <w:rsid w:val="00BE1D73"/>
    <w:rsid w:val="00BF2545"/>
    <w:rsid w:val="00BF44FA"/>
    <w:rsid w:val="00C01901"/>
    <w:rsid w:val="00C049BF"/>
    <w:rsid w:val="00C05D67"/>
    <w:rsid w:val="00C074C8"/>
    <w:rsid w:val="00C10E5F"/>
    <w:rsid w:val="00C11C43"/>
    <w:rsid w:val="00C21153"/>
    <w:rsid w:val="00C338D5"/>
    <w:rsid w:val="00C40D57"/>
    <w:rsid w:val="00C41915"/>
    <w:rsid w:val="00C46CD1"/>
    <w:rsid w:val="00C4730F"/>
    <w:rsid w:val="00C51B62"/>
    <w:rsid w:val="00C53158"/>
    <w:rsid w:val="00C547EF"/>
    <w:rsid w:val="00C57858"/>
    <w:rsid w:val="00C603DC"/>
    <w:rsid w:val="00C72468"/>
    <w:rsid w:val="00C73463"/>
    <w:rsid w:val="00C759B0"/>
    <w:rsid w:val="00C778A2"/>
    <w:rsid w:val="00C81B8A"/>
    <w:rsid w:val="00C82D0E"/>
    <w:rsid w:val="00C87311"/>
    <w:rsid w:val="00CA2DAB"/>
    <w:rsid w:val="00CA2FB2"/>
    <w:rsid w:val="00CA3008"/>
    <w:rsid w:val="00CA66F4"/>
    <w:rsid w:val="00CB26CE"/>
    <w:rsid w:val="00CB54DF"/>
    <w:rsid w:val="00CC0EF7"/>
    <w:rsid w:val="00CC330B"/>
    <w:rsid w:val="00CC6586"/>
    <w:rsid w:val="00CD303E"/>
    <w:rsid w:val="00CE23C1"/>
    <w:rsid w:val="00CE340D"/>
    <w:rsid w:val="00CE6F48"/>
    <w:rsid w:val="00D003C7"/>
    <w:rsid w:val="00D00B96"/>
    <w:rsid w:val="00D01102"/>
    <w:rsid w:val="00D0112E"/>
    <w:rsid w:val="00D012D1"/>
    <w:rsid w:val="00D0517F"/>
    <w:rsid w:val="00D07325"/>
    <w:rsid w:val="00D120A0"/>
    <w:rsid w:val="00D16F65"/>
    <w:rsid w:val="00D2158A"/>
    <w:rsid w:val="00D22B75"/>
    <w:rsid w:val="00D24BD1"/>
    <w:rsid w:val="00D25F09"/>
    <w:rsid w:val="00D33A0C"/>
    <w:rsid w:val="00D35913"/>
    <w:rsid w:val="00D4111D"/>
    <w:rsid w:val="00D47311"/>
    <w:rsid w:val="00D500BF"/>
    <w:rsid w:val="00D533B2"/>
    <w:rsid w:val="00D60D06"/>
    <w:rsid w:val="00D644C3"/>
    <w:rsid w:val="00D66B87"/>
    <w:rsid w:val="00D6773D"/>
    <w:rsid w:val="00D715B8"/>
    <w:rsid w:val="00D75721"/>
    <w:rsid w:val="00D77624"/>
    <w:rsid w:val="00D8231B"/>
    <w:rsid w:val="00D84032"/>
    <w:rsid w:val="00D84E37"/>
    <w:rsid w:val="00D9308D"/>
    <w:rsid w:val="00DA2154"/>
    <w:rsid w:val="00DA221C"/>
    <w:rsid w:val="00DA6F18"/>
    <w:rsid w:val="00DB37F4"/>
    <w:rsid w:val="00DE23D8"/>
    <w:rsid w:val="00DE57DF"/>
    <w:rsid w:val="00DF2FB1"/>
    <w:rsid w:val="00DF3016"/>
    <w:rsid w:val="00DF61F0"/>
    <w:rsid w:val="00DF6B4C"/>
    <w:rsid w:val="00DF76EB"/>
    <w:rsid w:val="00E1165B"/>
    <w:rsid w:val="00E2021E"/>
    <w:rsid w:val="00E230A3"/>
    <w:rsid w:val="00E26CBA"/>
    <w:rsid w:val="00E26F56"/>
    <w:rsid w:val="00E27C90"/>
    <w:rsid w:val="00E33501"/>
    <w:rsid w:val="00E35173"/>
    <w:rsid w:val="00E35A64"/>
    <w:rsid w:val="00E35E59"/>
    <w:rsid w:val="00E37011"/>
    <w:rsid w:val="00E424DE"/>
    <w:rsid w:val="00E442A0"/>
    <w:rsid w:val="00E44C8C"/>
    <w:rsid w:val="00E465DC"/>
    <w:rsid w:val="00E4716C"/>
    <w:rsid w:val="00E47490"/>
    <w:rsid w:val="00E520D1"/>
    <w:rsid w:val="00E5776E"/>
    <w:rsid w:val="00E6215A"/>
    <w:rsid w:val="00E64973"/>
    <w:rsid w:val="00E653F1"/>
    <w:rsid w:val="00E744F8"/>
    <w:rsid w:val="00E77585"/>
    <w:rsid w:val="00E77629"/>
    <w:rsid w:val="00E84090"/>
    <w:rsid w:val="00E84B5A"/>
    <w:rsid w:val="00E91407"/>
    <w:rsid w:val="00E97EE0"/>
    <w:rsid w:val="00EA1218"/>
    <w:rsid w:val="00EA2B8D"/>
    <w:rsid w:val="00EB1534"/>
    <w:rsid w:val="00EB1A3F"/>
    <w:rsid w:val="00EB586E"/>
    <w:rsid w:val="00EC7F05"/>
    <w:rsid w:val="00ED03BA"/>
    <w:rsid w:val="00ED0B45"/>
    <w:rsid w:val="00ED32ED"/>
    <w:rsid w:val="00ED4A5D"/>
    <w:rsid w:val="00EE202D"/>
    <w:rsid w:val="00EE2F44"/>
    <w:rsid w:val="00EE3A57"/>
    <w:rsid w:val="00EE5A82"/>
    <w:rsid w:val="00EF650F"/>
    <w:rsid w:val="00F1053A"/>
    <w:rsid w:val="00F11686"/>
    <w:rsid w:val="00F15E3B"/>
    <w:rsid w:val="00F16306"/>
    <w:rsid w:val="00F17B3F"/>
    <w:rsid w:val="00F2720D"/>
    <w:rsid w:val="00F27D91"/>
    <w:rsid w:val="00F366C6"/>
    <w:rsid w:val="00F40691"/>
    <w:rsid w:val="00F41648"/>
    <w:rsid w:val="00F443E1"/>
    <w:rsid w:val="00F50618"/>
    <w:rsid w:val="00F53BC5"/>
    <w:rsid w:val="00F55962"/>
    <w:rsid w:val="00F66289"/>
    <w:rsid w:val="00F7546F"/>
    <w:rsid w:val="00FA193B"/>
    <w:rsid w:val="00FA58FA"/>
    <w:rsid w:val="00FB6668"/>
    <w:rsid w:val="00FC36F7"/>
    <w:rsid w:val="00FC3EFD"/>
    <w:rsid w:val="00FD13A0"/>
    <w:rsid w:val="00FD1DA1"/>
    <w:rsid w:val="00FD3BF0"/>
    <w:rsid w:val="00FE2A16"/>
    <w:rsid w:val="00FE3593"/>
    <w:rsid w:val="00FE5D25"/>
    <w:rsid w:val="00FF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A368FFB-FEA7-4706-9B1C-60F5AFE2D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D07325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479B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F41648"/>
    <w:rPr>
      <w:rFonts w:cs="Times New Roman"/>
    </w:rPr>
  </w:style>
  <w:style w:type="paragraph" w:customStyle="1" w:styleId="Mdeck4heading2">
    <w:name w:val="M_deck_4_heading_2"/>
    <w:next w:val="a"/>
    <w:uiPriority w:val="99"/>
    <w:rsid w:val="00E520D1"/>
    <w:pPr>
      <w:kinsoku w:val="0"/>
      <w:overflowPunct w:val="0"/>
      <w:autoSpaceDE w:val="0"/>
      <w:autoSpaceDN w:val="0"/>
      <w:adjustRightInd w:val="0"/>
      <w:snapToGrid w:val="0"/>
      <w:spacing w:before="240" w:after="240" w:line="340" w:lineRule="atLeast"/>
      <w:outlineLvl w:val="1"/>
    </w:pPr>
    <w:rPr>
      <w:rFonts w:ascii="Times New Roman" w:eastAsia="新細明體" w:hAnsi="Times New Roman" w:cs="Times New Roman"/>
      <w:i/>
      <w:color w:val="000000"/>
      <w:kern w:val="0"/>
      <w:szCs w:val="20"/>
      <w:lang w:eastAsia="de-DE"/>
    </w:rPr>
  </w:style>
  <w:style w:type="character" w:customStyle="1" w:styleId="10">
    <w:name w:val="標題 1 字元"/>
    <w:basedOn w:val="a0"/>
    <w:link w:val="1"/>
    <w:uiPriority w:val="9"/>
    <w:rsid w:val="00D07325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D07325"/>
    <w:rPr>
      <w:color w:val="0000FF"/>
      <w:u w:val="single"/>
    </w:rPr>
  </w:style>
  <w:style w:type="character" w:customStyle="1" w:styleId="highlight">
    <w:name w:val="highlight"/>
    <w:basedOn w:val="a0"/>
    <w:rsid w:val="00D07325"/>
  </w:style>
  <w:style w:type="paragraph" w:styleId="a4">
    <w:name w:val="List Paragraph"/>
    <w:basedOn w:val="a"/>
    <w:uiPriority w:val="34"/>
    <w:qFormat/>
    <w:rsid w:val="00D07325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313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3139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313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31390"/>
    <w:rPr>
      <w:sz w:val="20"/>
      <w:szCs w:val="20"/>
    </w:rPr>
  </w:style>
  <w:style w:type="character" w:styleId="a9">
    <w:name w:val="Emphasis"/>
    <w:basedOn w:val="a0"/>
    <w:uiPriority w:val="99"/>
    <w:qFormat/>
    <w:rsid w:val="00046FE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7808D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7808DC"/>
    <w:rPr>
      <w:rFonts w:ascii="細明體" w:eastAsia="細明體" w:hAnsi="細明體" w:cs="細明體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074C5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11">
    <w:name w:val="標題1"/>
    <w:basedOn w:val="a"/>
    <w:rsid w:val="00E7758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sc">
    <w:name w:val="desc"/>
    <w:basedOn w:val="a"/>
    <w:rsid w:val="00E7758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tails">
    <w:name w:val="details"/>
    <w:basedOn w:val="a"/>
    <w:rsid w:val="00E7758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jrnl">
    <w:name w:val="jrnl"/>
    <w:basedOn w:val="a0"/>
    <w:rsid w:val="00E77585"/>
  </w:style>
  <w:style w:type="paragraph" w:customStyle="1" w:styleId="21">
    <w:name w:val="標題2"/>
    <w:basedOn w:val="a"/>
    <w:rsid w:val="00EB586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ref-title">
    <w:name w:val="ref-title"/>
    <w:basedOn w:val="a0"/>
    <w:rsid w:val="003A6950"/>
  </w:style>
  <w:style w:type="character" w:customStyle="1" w:styleId="ref-journal">
    <w:name w:val="ref-journal"/>
    <w:basedOn w:val="a0"/>
    <w:rsid w:val="003A6950"/>
  </w:style>
  <w:style w:type="character" w:customStyle="1" w:styleId="ref-vol">
    <w:name w:val="ref-vol"/>
    <w:basedOn w:val="a0"/>
    <w:rsid w:val="003A6950"/>
  </w:style>
  <w:style w:type="character" w:customStyle="1" w:styleId="element-citation">
    <w:name w:val="element-citation"/>
    <w:basedOn w:val="a0"/>
    <w:rsid w:val="00AB1577"/>
  </w:style>
  <w:style w:type="character" w:customStyle="1" w:styleId="nowrap">
    <w:name w:val="nowrap"/>
    <w:basedOn w:val="a0"/>
    <w:rsid w:val="00AB1577"/>
  </w:style>
  <w:style w:type="paragraph" w:customStyle="1" w:styleId="3">
    <w:name w:val="標題3"/>
    <w:basedOn w:val="a"/>
    <w:rsid w:val="00BA119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20">
    <w:name w:val="標題 2 字元"/>
    <w:basedOn w:val="a0"/>
    <w:link w:val="2"/>
    <w:uiPriority w:val="9"/>
    <w:semiHidden/>
    <w:rsid w:val="0044479B"/>
    <w:rPr>
      <w:rFonts w:asciiTheme="majorHAnsi" w:eastAsiaTheme="majorEastAsia" w:hAnsiTheme="majorHAnsi" w:cstheme="majorBidi"/>
      <w:b/>
      <w:bCs/>
      <w:sz w:val="48"/>
      <w:szCs w:val="48"/>
    </w:rPr>
  </w:style>
  <w:style w:type="paragraph" w:customStyle="1" w:styleId="Mdeck6figurecaption">
    <w:name w:val="M_deck_6_figure_caption"/>
    <w:basedOn w:val="a"/>
    <w:uiPriority w:val="99"/>
    <w:rsid w:val="00F7546F"/>
    <w:pPr>
      <w:widowControl/>
      <w:kinsoku w:val="0"/>
      <w:overflowPunct w:val="0"/>
      <w:autoSpaceDE w:val="0"/>
      <w:autoSpaceDN w:val="0"/>
      <w:adjustRightInd w:val="0"/>
      <w:snapToGrid w:val="0"/>
      <w:spacing w:before="240" w:after="240" w:line="340" w:lineRule="atLeast"/>
      <w:ind w:left="567" w:right="567"/>
      <w:jc w:val="both"/>
    </w:pPr>
    <w:rPr>
      <w:rFonts w:ascii="Times New Roman" w:eastAsia="新細明體" w:hAnsi="Times New Roman" w:cs="Times New Roman"/>
      <w:color w:val="000000"/>
      <w:kern w:val="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0047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9640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3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9957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95014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20291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8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2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0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6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7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7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7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48390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8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93132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9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04634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1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358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AB7B7-10AB-4169-9A10-52627967C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2018-11-26T12:28:00Z</dcterms:created>
  <dcterms:modified xsi:type="dcterms:W3CDTF">2018-11-26T12:28:00Z</dcterms:modified>
</cp:coreProperties>
</file>