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3A60" w:rsidRPr="000C3A60" w:rsidRDefault="000C3A60" w:rsidP="000C3A60">
      <w:pPr>
        <w:pStyle w:val="NormalWeb"/>
        <w:spacing w:before="0" w:beforeAutospacing="0" w:after="0" w:afterAutospacing="0"/>
        <w:textAlignment w:val="baseline"/>
        <w:rPr>
          <w:sz w:val="22"/>
          <w:szCs w:val="22"/>
        </w:rPr>
      </w:pPr>
      <w:proofErr w:type="spellStart"/>
      <w:r w:rsidRPr="000C3A60">
        <w:rPr>
          <w:rFonts w:asciiTheme="minorHAnsi" w:eastAsiaTheme="minorEastAsia" w:hAnsi="Trebuchet MS" w:cstheme="minorBidi"/>
          <w:color w:val="000000" w:themeColor="text1"/>
          <w:kern w:val="24"/>
          <w:sz w:val="22"/>
          <w:szCs w:val="22"/>
        </w:rPr>
        <w:t>Medulloblastoma</w:t>
      </w:r>
      <w:proofErr w:type="spellEnd"/>
      <w:r w:rsidRPr="000C3A60">
        <w:rPr>
          <w:rFonts w:asciiTheme="minorHAnsi" w:eastAsiaTheme="minorEastAsia" w:hAnsi="Trebuchet MS" w:cstheme="minorBidi"/>
          <w:color w:val="000000" w:themeColor="text1"/>
          <w:kern w:val="24"/>
          <w:sz w:val="22"/>
          <w:szCs w:val="22"/>
        </w:rPr>
        <w:t xml:space="preserve"> (MB) is the most common malignant brain tumor found among pediatric patients, constituting about 20% of all childhood brain tumors. This cancer, which is composed of four molecular subgroups including: WNT, Sonic Hedgehog (SHH), Group 3, and Group 4, stems from the cerebellum and tends to metastasize through the cerebrospinal fluid (CSF) to the meninges and subarachnoid space covering the brain and spinal cord. It is important to explore the molecular and cellular events involved in the ATOH1-driven cascade of metastatic MB so that potential therapeutics may be safer and more effective. In this project, we applied functional genomic statistical analyses of RNA-Sequencing (RNA-</w:t>
      </w:r>
      <w:proofErr w:type="spellStart"/>
      <w:r w:rsidRPr="000C3A60">
        <w:rPr>
          <w:rFonts w:asciiTheme="minorHAnsi" w:eastAsiaTheme="minorEastAsia" w:hAnsi="Trebuchet MS" w:cstheme="minorBidi"/>
          <w:color w:val="000000" w:themeColor="text1"/>
          <w:kern w:val="24"/>
          <w:sz w:val="22"/>
          <w:szCs w:val="22"/>
        </w:rPr>
        <w:t>Seq</w:t>
      </w:r>
      <w:proofErr w:type="spellEnd"/>
      <w:r w:rsidRPr="000C3A60">
        <w:rPr>
          <w:rFonts w:asciiTheme="minorHAnsi" w:eastAsiaTheme="minorEastAsia" w:hAnsi="Trebuchet MS" w:cstheme="minorBidi"/>
          <w:color w:val="000000" w:themeColor="text1"/>
          <w:kern w:val="24"/>
          <w:sz w:val="22"/>
          <w:szCs w:val="22"/>
        </w:rPr>
        <w:t xml:space="preserve">) and </w:t>
      </w:r>
      <w:proofErr w:type="spellStart"/>
      <w:r w:rsidRPr="000C3A60">
        <w:rPr>
          <w:rFonts w:asciiTheme="minorHAnsi" w:eastAsiaTheme="minorEastAsia" w:hAnsi="Trebuchet MS" w:cstheme="minorBidi"/>
          <w:color w:val="000000" w:themeColor="text1"/>
          <w:kern w:val="24"/>
          <w:sz w:val="22"/>
          <w:szCs w:val="22"/>
        </w:rPr>
        <w:t>ChIP</w:t>
      </w:r>
      <w:proofErr w:type="spellEnd"/>
      <w:r w:rsidRPr="000C3A60">
        <w:rPr>
          <w:rFonts w:asciiTheme="minorHAnsi" w:eastAsiaTheme="minorEastAsia" w:hAnsi="Trebuchet MS" w:cstheme="minorBidi"/>
          <w:color w:val="000000" w:themeColor="text1"/>
          <w:kern w:val="24"/>
          <w:sz w:val="22"/>
          <w:szCs w:val="22"/>
        </w:rPr>
        <w:t>-Sequencing (</w:t>
      </w:r>
      <w:proofErr w:type="spellStart"/>
      <w:r w:rsidRPr="000C3A60">
        <w:rPr>
          <w:rFonts w:asciiTheme="minorHAnsi" w:eastAsiaTheme="minorEastAsia" w:hAnsi="Trebuchet MS" w:cstheme="minorBidi"/>
          <w:color w:val="000000" w:themeColor="text1"/>
          <w:kern w:val="24"/>
          <w:sz w:val="22"/>
          <w:szCs w:val="22"/>
        </w:rPr>
        <w:t>ChIP-Seq</w:t>
      </w:r>
      <w:proofErr w:type="spellEnd"/>
      <w:r w:rsidRPr="000C3A60">
        <w:rPr>
          <w:rFonts w:asciiTheme="minorHAnsi" w:eastAsiaTheme="minorEastAsia" w:hAnsi="Trebuchet MS" w:cstheme="minorBidi"/>
          <w:color w:val="000000" w:themeColor="text1"/>
          <w:kern w:val="24"/>
          <w:sz w:val="22"/>
          <w:szCs w:val="22"/>
        </w:rPr>
        <w:t>) to uncover differentially expressed genes (DEGs) of MB SHH subgroup in mouse models. RNA-</w:t>
      </w:r>
      <w:proofErr w:type="spellStart"/>
      <w:r w:rsidRPr="000C3A60">
        <w:rPr>
          <w:rFonts w:asciiTheme="minorHAnsi" w:eastAsiaTheme="minorEastAsia" w:hAnsi="Trebuchet MS" w:cstheme="minorBidi"/>
          <w:color w:val="000000" w:themeColor="text1"/>
          <w:kern w:val="24"/>
          <w:sz w:val="22"/>
          <w:szCs w:val="22"/>
        </w:rPr>
        <w:t>Seq</w:t>
      </w:r>
      <w:proofErr w:type="spellEnd"/>
      <w:r w:rsidRPr="000C3A60">
        <w:rPr>
          <w:rFonts w:asciiTheme="minorHAnsi" w:eastAsiaTheme="minorEastAsia" w:hAnsi="Trebuchet MS" w:cstheme="minorBidi"/>
          <w:color w:val="000000" w:themeColor="text1"/>
          <w:kern w:val="24"/>
          <w:sz w:val="22"/>
          <w:szCs w:val="22"/>
        </w:rPr>
        <w:t xml:space="preserve"> has biomedical relevance, essentially being used to interpret the function of the genome as well as to understand how disease develops at gene expression level (transcriptome). Meanwhile, </w:t>
      </w:r>
      <w:proofErr w:type="spellStart"/>
      <w:r w:rsidRPr="000C3A60">
        <w:rPr>
          <w:rFonts w:asciiTheme="minorHAnsi" w:eastAsiaTheme="minorEastAsia" w:hAnsi="Trebuchet MS" w:cstheme="minorBidi"/>
          <w:color w:val="000000" w:themeColor="text1"/>
          <w:kern w:val="24"/>
          <w:sz w:val="22"/>
          <w:szCs w:val="22"/>
        </w:rPr>
        <w:t>ChIP-Seq</w:t>
      </w:r>
      <w:proofErr w:type="spellEnd"/>
      <w:r w:rsidRPr="000C3A60">
        <w:rPr>
          <w:rFonts w:asciiTheme="minorHAnsi" w:eastAsiaTheme="minorEastAsia" w:hAnsi="Trebuchet MS" w:cstheme="minorBidi"/>
          <w:color w:val="000000" w:themeColor="text1"/>
          <w:kern w:val="24"/>
          <w:sz w:val="22"/>
          <w:szCs w:val="22"/>
        </w:rPr>
        <w:t xml:space="preserve"> was applied to reveal the DNA binding sites of transcription factors (</w:t>
      </w:r>
      <w:proofErr w:type="spellStart"/>
      <w:r w:rsidRPr="000C3A60">
        <w:rPr>
          <w:rFonts w:asciiTheme="minorHAnsi" w:eastAsiaTheme="minorEastAsia" w:hAnsi="Trebuchet MS" w:cstheme="minorBidi"/>
          <w:color w:val="000000" w:themeColor="text1"/>
          <w:kern w:val="24"/>
          <w:sz w:val="22"/>
          <w:szCs w:val="22"/>
        </w:rPr>
        <w:t>targetome</w:t>
      </w:r>
      <w:proofErr w:type="spellEnd"/>
      <w:r w:rsidRPr="000C3A60">
        <w:rPr>
          <w:rFonts w:asciiTheme="minorHAnsi" w:eastAsiaTheme="minorEastAsia" w:hAnsi="Trebuchet MS" w:cstheme="minorBidi"/>
          <w:color w:val="000000" w:themeColor="text1"/>
          <w:kern w:val="24"/>
          <w:sz w:val="22"/>
          <w:szCs w:val="22"/>
        </w:rPr>
        <w:t xml:space="preserve">) and ultimately the gene regulation events. The results of the </w:t>
      </w:r>
      <w:proofErr w:type="spellStart"/>
      <w:r w:rsidRPr="000C3A60">
        <w:rPr>
          <w:rFonts w:asciiTheme="minorHAnsi" w:eastAsiaTheme="minorEastAsia" w:hAnsi="Trebuchet MS" w:cstheme="minorBidi"/>
          <w:color w:val="000000" w:themeColor="text1"/>
          <w:kern w:val="24"/>
          <w:sz w:val="22"/>
          <w:szCs w:val="22"/>
        </w:rPr>
        <w:t>targetome</w:t>
      </w:r>
      <w:proofErr w:type="spellEnd"/>
      <w:r w:rsidRPr="000C3A60">
        <w:rPr>
          <w:rFonts w:asciiTheme="minorHAnsi" w:eastAsiaTheme="minorEastAsia" w:hAnsi="Trebuchet MS" w:cstheme="minorBidi"/>
          <w:color w:val="000000" w:themeColor="text1"/>
          <w:kern w:val="24"/>
          <w:sz w:val="22"/>
          <w:szCs w:val="22"/>
        </w:rPr>
        <w:t xml:space="preserve"> and transcriptome were compared and integrated, and enriched pathway were detected and analyzed using Ingenuity Pathway Analysis.</w:t>
      </w:r>
    </w:p>
    <w:p w:rsidR="00235FD0" w:rsidRDefault="00235FD0">
      <w:bookmarkStart w:id="0" w:name="_GoBack"/>
      <w:bookmarkEnd w:id="0"/>
    </w:p>
    <w:sectPr w:rsidR="00235F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A60"/>
    <w:rsid w:val="000C3A60"/>
    <w:rsid w:val="00235FD0"/>
    <w:rsid w:val="00396002"/>
    <w:rsid w:val="008F43E5"/>
    <w:rsid w:val="00DA7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D34F43-E986-4127-BB46-A11ABCA6F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3A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550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195</Words>
  <Characters>1116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Blaine Nelson</dc:creator>
  <cp:keywords/>
  <dc:description/>
  <cp:lastModifiedBy>Blaine Nelson</cp:lastModifiedBy>
  <cp:revision>1</cp:revision>
  <dcterms:created xsi:type="dcterms:W3CDTF">2018-06-05T14:04:00Z</dcterms:created>
  <dcterms:modified xsi:type="dcterms:W3CDTF">2018-06-05T14:10:00Z</dcterms:modified>
</cp:coreProperties>
</file>