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738" w:rsidRPr="00372865" w:rsidRDefault="00867738" w:rsidP="00867738">
      <w:pPr>
        <w:spacing w:line="480" w:lineRule="auto"/>
        <w:rPr>
          <w:rFonts w:ascii="Arial" w:hAnsi="Arial" w:cs="Arial"/>
          <w:b/>
          <w:sz w:val="28"/>
          <w:szCs w:val="24"/>
        </w:rPr>
      </w:pPr>
      <w:r w:rsidRPr="00372865">
        <w:rPr>
          <w:rFonts w:ascii="Arial" w:hAnsi="Arial" w:cs="Arial"/>
          <w:b/>
          <w:sz w:val="28"/>
          <w:szCs w:val="24"/>
        </w:rPr>
        <w:t xml:space="preserve">Epigenetic silencing of miR-1271 enhances MEK1 and TEAD4 expression in gastric cancer </w:t>
      </w:r>
    </w:p>
    <w:p w:rsidR="00867738" w:rsidRPr="00372865" w:rsidRDefault="00867738" w:rsidP="00867738">
      <w:pPr>
        <w:kinsoku w:val="0"/>
        <w:wordWrap/>
        <w:overflowPunct w:val="0"/>
        <w:adjustRightInd w:val="0"/>
        <w:snapToGrid w:val="0"/>
        <w:spacing w:after="0" w:line="480" w:lineRule="auto"/>
        <w:jc w:val="left"/>
        <w:rPr>
          <w:rFonts w:ascii="Arial" w:eastAsia="맑은 고딕" w:hAnsi="Arial" w:cs="Arial"/>
          <w:snapToGrid w:val="0"/>
          <w:kern w:val="0"/>
          <w:sz w:val="22"/>
        </w:rPr>
      </w:pPr>
    </w:p>
    <w:p w:rsidR="00867738" w:rsidRPr="00372865" w:rsidRDefault="00372865" w:rsidP="00867738">
      <w:pPr>
        <w:kinsoku w:val="0"/>
        <w:wordWrap/>
        <w:overflowPunct w:val="0"/>
        <w:adjustRightInd w:val="0"/>
        <w:snapToGrid w:val="0"/>
        <w:spacing w:after="0" w:line="480" w:lineRule="auto"/>
        <w:jc w:val="left"/>
        <w:rPr>
          <w:rFonts w:ascii="Arial" w:eastAsia="맑은 고딕" w:hAnsi="Arial" w:cs="Arial"/>
          <w:snapToGrid w:val="0"/>
          <w:kern w:val="0"/>
          <w:sz w:val="22"/>
          <w:vertAlign w:val="superscript"/>
        </w:rPr>
      </w:pPr>
      <w:r>
        <w:rPr>
          <w:rFonts w:ascii="Arial" w:eastAsia="맑은 고딕" w:hAnsi="Arial" w:cs="Arial"/>
          <w:snapToGrid w:val="0"/>
          <w:kern w:val="0"/>
          <w:sz w:val="22"/>
        </w:rPr>
        <w:t>Haejeo</w:t>
      </w:r>
      <w:r w:rsidR="00867738" w:rsidRPr="00372865">
        <w:rPr>
          <w:rFonts w:ascii="Arial" w:eastAsia="맑은 고딕" w:hAnsi="Arial" w:cs="Arial"/>
          <w:snapToGrid w:val="0"/>
          <w:kern w:val="0"/>
          <w:sz w:val="22"/>
        </w:rPr>
        <w:t xml:space="preserve">ng </w:t>
      </w:r>
      <w:r>
        <w:rPr>
          <w:rFonts w:ascii="Arial" w:eastAsia="맑은 고딕" w:hAnsi="Arial" w:cs="Arial"/>
          <w:snapToGrid w:val="0"/>
          <w:kern w:val="0"/>
          <w:sz w:val="22"/>
        </w:rPr>
        <w:t>H</w:t>
      </w:r>
      <w:r w:rsidR="00867738" w:rsidRPr="00372865">
        <w:rPr>
          <w:rFonts w:ascii="Arial" w:eastAsia="맑은 고딕" w:hAnsi="Arial" w:cs="Arial"/>
          <w:snapToGrid w:val="0"/>
          <w:kern w:val="0"/>
          <w:sz w:val="22"/>
        </w:rPr>
        <w:t>e</w:t>
      </w:r>
      <w:r>
        <w:rPr>
          <w:rFonts w:ascii="Arial" w:eastAsia="맑은 고딕" w:hAnsi="Arial" w:cs="Arial"/>
          <w:snapToGrid w:val="0"/>
          <w:kern w:val="0"/>
          <w:sz w:val="22"/>
        </w:rPr>
        <w:t>o</w:t>
      </w:r>
      <w:r>
        <w:rPr>
          <w:rFonts w:ascii="Arial" w:eastAsia="맑은 고딕" w:hAnsi="Arial" w:cs="Arial"/>
          <w:snapToGrid w:val="0"/>
          <w:kern w:val="0"/>
          <w:sz w:val="22"/>
          <w:vertAlign w:val="superscript"/>
        </w:rPr>
        <w:t>1, 2</w:t>
      </w:r>
      <w:r w:rsidRPr="00372865">
        <w:rPr>
          <w:rFonts w:ascii="Arial" w:eastAsia="맑은 고딕" w:hAnsi="Arial" w:cs="Arial"/>
          <w:snapToGrid w:val="0"/>
          <w:kern w:val="0"/>
          <w:sz w:val="22"/>
        </w:rPr>
        <w:t>,</w:t>
      </w:r>
      <w:r>
        <w:rPr>
          <w:rFonts w:ascii="Arial" w:eastAsia="맑은 고딕" w:hAnsi="Arial" w:cs="Arial"/>
          <w:snapToGrid w:val="0"/>
          <w:kern w:val="0"/>
          <w:sz w:val="22"/>
        </w:rPr>
        <w:t xml:space="preserve"> </w:t>
      </w:r>
      <w:proofErr w:type="spellStart"/>
      <w:r w:rsidR="00867738" w:rsidRPr="00372865">
        <w:rPr>
          <w:rFonts w:ascii="Arial" w:eastAsia="맑은 고딕" w:hAnsi="Arial" w:cs="Arial"/>
          <w:snapToGrid w:val="0"/>
          <w:kern w:val="0"/>
          <w:sz w:val="22"/>
        </w:rPr>
        <w:t>Mirang</w:t>
      </w:r>
      <w:proofErr w:type="spellEnd"/>
      <w:r w:rsidR="00867738" w:rsidRPr="00372865">
        <w:rPr>
          <w:rFonts w:ascii="Arial" w:eastAsia="맑은 고딕" w:hAnsi="Arial" w:cs="Arial"/>
          <w:snapToGrid w:val="0"/>
          <w:kern w:val="0"/>
          <w:sz w:val="22"/>
        </w:rPr>
        <w:t xml:space="preserve"> Kim</w:t>
      </w:r>
      <w:r w:rsidR="00867738" w:rsidRPr="00372865">
        <w:rPr>
          <w:rFonts w:ascii="Arial" w:eastAsia="맑은 고딕" w:hAnsi="Arial" w:cs="Arial"/>
          <w:snapToGrid w:val="0"/>
          <w:kern w:val="0"/>
          <w:sz w:val="22"/>
          <w:vertAlign w:val="superscript"/>
        </w:rPr>
        <w:t>1, 2</w:t>
      </w:r>
    </w:p>
    <w:p w:rsidR="00867738" w:rsidRPr="00372865" w:rsidRDefault="00867738" w:rsidP="00867738">
      <w:pPr>
        <w:kinsoku w:val="0"/>
        <w:wordWrap/>
        <w:overflowPunct w:val="0"/>
        <w:adjustRightInd w:val="0"/>
        <w:snapToGrid w:val="0"/>
        <w:spacing w:after="0" w:line="480" w:lineRule="auto"/>
        <w:jc w:val="left"/>
        <w:rPr>
          <w:rFonts w:ascii="Arial" w:eastAsia="맑은 고딕" w:hAnsi="Arial" w:cs="Arial"/>
          <w:snapToGrid w:val="0"/>
          <w:kern w:val="0"/>
          <w:sz w:val="22"/>
          <w:vertAlign w:val="superscript"/>
        </w:rPr>
      </w:pPr>
    </w:p>
    <w:p w:rsidR="00867738" w:rsidRPr="00372865" w:rsidRDefault="00867738" w:rsidP="00372865">
      <w:pPr>
        <w:kinsoku w:val="0"/>
        <w:wordWrap/>
        <w:overflowPunct w:val="0"/>
        <w:adjustRightInd w:val="0"/>
        <w:snapToGrid w:val="0"/>
        <w:spacing w:after="0" w:line="480" w:lineRule="auto"/>
        <w:jc w:val="left"/>
        <w:rPr>
          <w:rFonts w:ascii="Arial" w:eastAsia="맑은 고딕" w:hAnsi="Arial" w:cs="Arial"/>
          <w:snapToGrid w:val="0"/>
          <w:kern w:val="0"/>
          <w:sz w:val="22"/>
        </w:rPr>
      </w:pPr>
      <w:r w:rsidRPr="00372865">
        <w:rPr>
          <w:rFonts w:ascii="Arial" w:eastAsia="맑은 고딕" w:hAnsi="Arial" w:cs="Arial"/>
          <w:snapToGrid w:val="0"/>
          <w:kern w:val="0"/>
          <w:sz w:val="22"/>
          <w:vertAlign w:val="superscript"/>
        </w:rPr>
        <w:t>1</w:t>
      </w:r>
      <w:r w:rsidR="00372865">
        <w:rPr>
          <w:rFonts w:ascii="Arial" w:eastAsia="맑은 고딕" w:hAnsi="Arial" w:cs="Arial"/>
          <w:snapToGrid w:val="0"/>
          <w:kern w:val="0"/>
          <w:sz w:val="22"/>
          <w:vertAlign w:val="superscript"/>
        </w:rPr>
        <w:t xml:space="preserve"> </w:t>
      </w:r>
      <w:r w:rsidRPr="00372865">
        <w:rPr>
          <w:rFonts w:ascii="Arial" w:eastAsia="맑은 고딕" w:hAnsi="Arial" w:cs="Arial"/>
          <w:snapToGrid w:val="0"/>
          <w:kern w:val="0"/>
          <w:sz w:val="22"/>
        </w:rPr>
        <w:t>Personalized Genomic Medicine Research Center, Korea Research Institute of Bioscience and Biotechnology (KRIBB), Daejeon, Korea</w:t>
      </w:r>
    </w:p>
    <w:p w:rsidR="00867738" w:rsidRPr="00372865" w:rsidRDefault="00867738" w:rsidP="00867738">
      <w:pPr>
        <w:kinsoku w:val="0"/>
        <w:wordWrap/>
        <w:overflowPunct w:val="0"/>
        <w:adjustRightInd w:val="0"/>
        <w:snapToGrid w:val="0"/>
        <w:spacing w:after="0" w:line="480" w:lineRule="auto"/>
        <w:jc w:val="left"/>
        <w:rPr>
          <w:rFonts w:ascii="Arial" w:eastAsia="맑은 고딕" w:hAnsi="Arial" w:cs="Arial"/>
          <w:snapToGrid w:val="0"/>
          <w:kern w:val="0"/>
          <w:sz w:val="22"/>
        </w:rPr>
      </w:pPr>
      <w:r w:rsidRPr="00372865">
        <w:rPr>
          <w:rFonts w:ascii="Arial" w:eastAsia="맑은 고딕" w:hAnsi="Arial" w:cs="Arial"/>
          <w:snapToGrid w:val="0"/>
          <w:kern w:val="0"/>
          <w:sz w:val="22"/>
          <w:vertAlign w:val="superscript"/>
        </w:rPr>
        <w:t>2</w:t>
      </w:r>
      <w:r w:rsidR="00372865">
        <w:rPr>
          <w:rFonts w:ascii="Arial" w:eastAsia="맑은 고딕" w:hAnsi="Arial" w:cs="Arial"/>
          <w:snapToGrid w:val="0"/>
          <w:kern w:val="0"/>
          <w:sz w:val="22"/>
          <w:vertAlign w:val="superscript"/>
        </w:rPr>
        <w:t xml:space="preserve"> </w:t>
      </w:r>
      <w:bookmarkStart w:id="0" w:name="_GoBack"/>
      <w:bookmarkEnd w:id="0"/>
      <w:r w:rsidRPr="00372865">
        <w:rPr>
          <w:rFonts w:ascii="Arial" w:eastAsia="맑은 고딕" w:hAnsi="Arial" w:cs="Arial"/>
          <w:snapToGrid w:val="0"/>
          <w:kern w:val="0"/>
          <w:sz w:val="22"/>
        </w:rPr>
        <w:t>Department of Functional Genomics, University of Science and Technology (UST), Daejeon, Korea</w:t>
      </w:r>
    </w:p>
    <w:p w:rsidR="00867738" w:rsidRPr="00372865" w:rsidRDefault="00867738">
      <w:pPr>
        <w:rPr>
          <w:rFonts w:ascii="Arial" w:hAnsi="Arial" w:cs="Arial"/>
          <w:sz w:val="22"/>
        </w:rPr>
      </w:pPr>
    </w:p>
    <w:p w:rsidR="00867738" w:rsidRPr="00372865" w:rsidRDefault="00867738">
      <w:pPr>
        <w:rPr>
          <w:rFonts w:ascii="Arial" w:hAnsi="Arial" w:cs="Arial"/>
          <w:sz w:val="22"/>
        </w:rPr>
      </w:pPr>
    </w:p>
    <w:p w:rsidR="00F837C0" w:rsidRPr="00372865" w:rsidRDefault="001010B9">
      <w:pPr>
        <w:rPr>
          <w:rFonts w:ascii="Arial" w:hAnsi="Arial" w:cs="Arial"/>
          <w:sz w:val="22"/>
        </w:rPr>
      </w:pPr>
      <w:r w:rsidRPr="00372865">
        <w:rPr>
          <w:rFonts w:ascii="Arial" w:hAnsi="Arial" w:cs="Arial"/>
          <w:sz w:val="22"/>
        </w:rPr>
        <w:t xml:space="preserve">Epigenetic dysregulation is a major driver of tumorigenesis. To identify tumor-suppressive microRNAs repressed by DNA methylation in gastric cancer (GC), we analyzed the genome-wide DNA methylation and microRNA expression profiles. Among the set of microRNAs screened, miR-1271 was identified as a microRNA repressed by DNA methylation in GC. Forced miR-1271 expression substantially suppressed the growth, migration, and invasion of GC cells. To identify candidate target genes and signaling pathways regulated by miR-1271, we performed RNA sequencing. Among the genes down-regulated by miR-1271, </w:t>
      </w:r>
      <w:r w:rsidRPr="00372865">
        <w:rPr>
          <w:rFonts w:ascii="Arial" w:hAnsi="Arial" w:cs="Arial"/>
          <w:i/>
          <w:sz w:val="22"/>
        </w:rPr>
        <w:t>MAP2K1</w:t>
      </w:r>
      <w:r w:rsidRPr="00372865">
        <w:rPr>
          <w:rFonts w:ascii="Arial" w:hAnsi="Arial" w:cs="Arial"/>
          <w:sz w:val="22"/>
        </w:rPr>
        <w:t xml:space="preserve"> (MEK1) and TEAD4 were significantly repressed by miR-1271. These findings uncovered MEK1 and TEAD4 as novel miR-1271 targets and suggest that the epigenetic silencing of miR-1271 is crucial for GC development.</w:t>
      </w:r>
    </w:p>
    <w:sectPr w:rsidR="00F837C0" w:rsidRPr="0037286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0B9"/>
    <w:rsid w:val="001010B9"/>
    <w:rsid w:val="0012757B"/>
    <w:rsid w:val="00193C30"/>
    <w:rsid w:val="00372865"/>
    <w:rsid w:val="00867738"/>
    <w:rsid w:val="00E55B1C"/>
    <w:rsid w:val="00F8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2979FC-2B06-426E-B085-9EBEA478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73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9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</Words>
  <Characters>1161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haejeong</dc:creator>
  <cp:keywords/>
  <dc:description/>
  <cp:lastModifiedBy>haejeong</cp:lastModifiedBy>
  <cp:revision>1</cp:revision>
  <dcterms:created xsi:type="dcterms:W3CDTF">2018-05-18T05:35:00Z</dcterms:created>
  <dcterms:modified xsi:type="dcterms:W3CDTF">2018-05-18T06:30:00Z</dcterms:modified>
</cp:coreProperties>
</file>