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903" w:rsidRPr="00020903" w:rsidRDefault="00020903" w:rsidP="00020903">
      <w:pPr>
        <w:spacing w:after="0"/>
        <w:jc w:val="both"/>
        <w:rPr>
          <w:rFonts w:ascii="Times New Roman" w:hAnsi="Times New Roman" w:cs="Times New Roman"/>
          <w:b/>
          <w:sz w:val="24"/>
          <w:szCs w:val="24"/>
        </w:rPr>
      </w:pPr>
      <w:r w:rsidRPr="00020903">
        <w:rPr>
          <w:rFonts w:ascii="Times New Roman" w:hAnsi="Times New Roman" w:cs="Times New Roman"/>
          <w:b/>
          <w:sz w:val="24"/>
          <w:szCs w:val="24"/>
        </w:rPr>
        <w:t>Women, trauma and alcohol dependency: Connections and disconnections in alcohol treatment for women</w:t>
      </w:r>
    </w:p>
    <w:p w:rsidR="00020903" w:rsidRPr="00020903" w:rsidRDefault="009E382C" w:rsidP="00020903">
      <w:pPr>
        <w:spacing w:after="0"/>
        <w:jc w:val="both"/>
        <w:rPr>
          <w:rFonts w:ascii="Times New Roman" w:hAnsi="Times New Roman" w:cs="Times New Roman"/>
          <w:sz w:val="24"/>
          <w:szCs w:val="24"/>
        </w:rPr>
      </w:pPr>
      <w:r>
        <w:rPr>
          <w:noProof/>
          <w:lang w:val="en-IN" w:eastAsia="en-IN"/>
        </w:rPr>
        <w:drawing>
          <wp:anchor distT="0" distB="0" distL="114300" distR="114300" simplePos="0" relativeHeight="251658240" behindDoc="1" locked="0" layoutInCell="1" allowOverlap="1" wp14:anchorId="27908E08" wp14:editId="6FA5981A">
            <wp:simplePos x="0" y="0"/>
            <wp:positionH relativeFrom="margin">
              <wp:posOffset>5230495</wp:posOffset>
            </wp:positionH>
            <wp:positionV relativeFrom="paragraph">
              <wp:posOffset>82550</wp:posOffset>
            </wp:positionV>
            <wp:extent cx="628153" cy="623168"/>
            <wp:effectExtent l="0" t="0" r="635" b="5715"/>
            <wp:wrapTight wrapText="bothSides">
              <wp:wrapPolygon edited="0">
                <wp:start x="0" y="0"/>
                <wp:lineTo x="0" y="21138"/>
                <wp:lineTo x="20967" y="21138"/>
                <wp:lineTo x="20967" y="0"/>
                <wp:lineTo x="0" y="0"/>
              </wp:wrapPolygon>
            </wp:wrapTight>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153" cy="623168"/>
                    </a:xfrm>
                    <a:prstGeom prst="rect">
                      <a:avLst/>
                    </a:prstGeom>
                    <a:noFill/>
                    <a:ln>
                      <a:noFill/>
                    </a:ln>
                  </pic:spPr>
                </pic:pic>
              </a:graphicData>
            </a:graphic>
          </wp:anchor>
        </w:drawing>
      </w:r>
    </w:p>
    <w:p w:rsidR="00020903" w:rsidRPr="00020903" w:rsidRDefault="00663B29" w:rsidP="00020903">
      <w:pPr>
        <w:spacing w:after="0"/>
        <w:jc w:val="both"/>
        <w:rPr>
          <w:rFonts w:ascii="Times New Roman" w:hAnsi="Times New Roman" w:cs="Times New Roman"/>
          <w:sz w:val="24"/>
          <w:szCs w:val="24"/>
        </w:rPr>
      </w:pPr>
      <w:r>
        <w:rPr>
          <w:rFonts w:ascii="Times New Roman" w:hAnsi="Times New Roman" w:cs="Times New Roman"/>
          <w:sz w:val="24"/>
          <w:szCs w:val="24"/>
        </w:rPr>
        <w:t>Dr ABC</w:t>
      </w:r>
      <w:r w:rsidR="00020903" w:rsidRPr="00020903">
        <w:rPr>
          <w:rFonts w:ascii="Times New Roman" w:hAnsi="Times New Roman" w:cs="Times New Roman"/>
          <w:sz w:val="24"/>
          <w:szCs w:val="24"/>
        </w:rPr>
        <w:t xml:space="preserve">, TLI Foundation, USA </w:t>
      </w:r>
    </w:p>
    <w:p w:rsidR="00020903" w:rsidRPr="00020903" w:rsidRDefault="00663B29" w:rsidP="00020903">
      <w:pPr>
        <w:spacing w:after="0"/>
        <w:jc w:val="both"/>
        <w:rPr>
          <w:rFonts w:ascii="Times New Roman" w:hAnsi="Times New Roman" w:cs="Times New Roman"/>
          <w:sz w:val="24"/>
          <w:szCs w:val="24"/>
        </w:rPr>
      </w:pPr>
      <w:r>
        <w:rPr>
          <w:rFonts w:ascii="Times New Roman" w:hAnsi="Times New Roman" w:cs="Times New Roman"/>
          <w:sz w:val="24"/>
          <w:szCs w:val="24"/>
        </w:rPr>
        <w:t xml:space="preserve">Dr EFG, </w:t>
      </w:r>
      <w:r w:rsidR="00020903" w:rsidRPr="00020903">
        <w:rPr>
          <w:rFonts w:ascii="Times New Roman" w:hAnsi="Times New Roman" w:cs="Times New Roman"/>
          <w:sz w:val="24"/>
          <w:szCs w:val="24"/>
        </w:rPr>
        <w:t>TLI Foundation, USA</w:t>
      </w:r>
    </w:p>
    <w:p w:rsidR="00020903" w:rsidRPr="00020903" w:rsidRDefault="00020903" w:rsidP="00020903">
      <w:pPr>
        <w:spacing w:after="0"/>
        <w:jc w:val="both"/>
        <w:rPr>
          <w:rFonts w:ascii="Times New Roman" w:hAnsi="Times New Roman" w:cs="Times New Roman"/>
          <w:sz w:val="24"/>
          <w:szCs w:val="24"/>
        </w:rPr>
      </w:pPr>
    </w:p>
    <w:p w:rsidR="00020903" w:rsidRPr="00020903" w:rsidRDefault="009E382C" w:rsidP="009E382C">
      <w:pPr>
        <w:spacing w:after="0"/>
        <w:jc w:val="right"/>
        <w:rPr>
          <w:rFonts w:ascii="Times New Roman" w:hAnsi="Times New Roman" w:cs="Times New Roman"/>
          <w:sz w:val="24"/>
          <w:szCs w:val="24"/>
        </w:rPr>
      </w:pPr>
      <w:r>
        <w:rPr>
          <w:rFonts w:ascii="Times New Roman" w:hAnsi="Times New Roman" w:cs="Times New Roman"/>
          <w:sz w:val="24"/>
          <w:szCs w:val="24"/>
        </w:rPr>
        <w:t xml:space="preserve">Headshot </w:t>
      </w:r>
      <w:r w:rsidRPr="00020903">
        <w:rPr>
          <w:rFonts w:ascii="Times New Roman" w:hAnsi="Times New Roman" w:cs="Times New Roman"/>
          <w:sz w:val="24"/>
          <w:szCs w:val="24"/>
        </w:rPr>
        <w:t>Photograph</w:t>
      </w:r>
    </w:p>
    <w:p w:rsidR="00020903" w:rsidRPr="009E382C" w:rsidRDefault="00020903" w:rsidP="00020903">
      <w:pPr>
        <w:spacing w:after="0"/>
        <w:jc w:val="both"/>
        <w:rPr>
          <w:rFonts w:ascii="Times New Roman" w:hAnsi="Times New Roman" w:cs="Times New Roman"/>
          <w:i/>
          <w:sz w:val="24"/>
          <w:szCs w:val="24"/>
        </w:rPr>
      </w:pPr>
      <w:r w:rsidRPr="009E382C">
        <w:rPr>
          <w:rFonts w:ascii="Times New Roman" w:hAnsi="Times New Roman" w:cs="Times New Roman"/>
          <w:b/>
          <w:sz w:val="24"/>
          <w:szCs w:val="24"/>
        </w:rPr>
        <w:t xml:space="preserve">Abstract </w:t>
      </w:r>
      <w:r w:rsidRPr="009E382C">
        <w:rPr>
          <w:rFonts w:ascii="Times New Roman" w:hAnsi="Times New Roman" w:cs="Times New Roman"/>
          <w:i/>
          <w:sz w:val="24"/>
          <w:szCs w:val="24"/>
        </w:rPr>
        <w:t>(</w:t>
      </w:r>
      <w:r w:rsidR="009E382C" w:rsidRPr="009E382C">
        <w:rPr>
          <w:rFonts w:ascii="Times New Roman" w:hAnsi="Times New Roman" w:cs="Times New Roman"/>
          <w:i/>
          <w:sz w:val="24"/>
          <w:szCs w:val="24"/>
        </w:rPr>
        <w:t>300-word</w:t>
      </w:r>
      <w:r w:rsidRPr="009E382C">
        <w:rPr>
          <w:rFonts w:ascii="Times New Roman" w:hAnsi="Times New Roman" w:cs="Times New Roman"/>
          <w:i/>
          <w:sz w:val="24"/>
          <w:szCs w:val="24"/>
        </w:rPr>
        <w:t xml:space="preserve"> limit)</w:t>
      </w:r>
    </w:p>
    <w:p w:rsidR="009E382C" w:rsidRPr="009E382C" w:rsidRDefault="009E382C" w:rsidP="00020903">
      <w:pPr>
        <w:spacing w:after="0"/>
        <w:jc w:val="both"/>
        <w:rPr>
          <w:rFonts w:ascii="Times New Roman" w:hAnsi="Times New Roman" w:cs="Times New Roman"/>
          <w:sz w:val="24"/>
          <w:szCs w:val="24"/>
        </w:rPr>
      </w:pPr>
    </w:p>
    <w:p w:rsidR="009E382C" w:rsidRDefault="00020903" w:rsidP="00020903">
      <w:pPr>
        <w:spacing w:after="0"/>
        <w:jc w:val="both"/>
        <w:rPr>
          <w:rFonts w:ascii="Times New Roman" w:hAnsi="Times New Roman" w:cs="Times New Roman"/>
          <w:sz w:val="24"/>
          <w:szCs w:val="24"/>
        </w:rPr>
      </w:pPr>
      <w:r w:rsidRPr="009E382C">
        <w:rPr>
          <w:rFonts w:ascii="Times New Roman" w:hAnsi="Times New Roman" w:cs="Times New Roman"/>
          <w:b/>
          <w:sz w:val="24"/>
          <w:szCs w:val="24"/>
        </w:rPr>
        <w:t>Statement of the Problem:</w:t>
      </w:r>
      <w:r w:rsidRPr="00020903">
        <w:rPr>
          <w:rFonts w:ascii="Times New Roman" w:hAnsi="Times New Roman" w:cs="Times New Roman"/>
          <w:sz w:val="24"/>
          <w:szCs w:val="24"/>
        </w:rPr>
        <w:t xml:space="preserve"> Women who have experienced intimate partner violence (IPV) are at greater risk for physical and mental health problems including posttraumatic stress disorder (PTSD) and alcohol dependency. On their own IPV, PTSD and alcohol dependency result</w:t>
      </w:r>
      <w:r w:rsidR="009E382C">
        <w:rPr>
          <w:rFonts w:ascii="Times New Roman" w:hAnsi="Times New Roman" w:cs="Times New Roman"/>
          <w:sz w:val="24"/>
          <w:szCs w:val="24"/>
        </w:rPr>
        <w:t xml:space="preserve"> </w:t>
      </w:r>
      <w:r w:rsidRPr="00020903">
        <w:rPr>
          <w:rFonts w:ascii="Times New Roman" w:hAnsi="Times New Roman" w:cs="Times New Roman"/>
          <w:sz w:val="24"/>
          <w:szCs w:val="24"/>
        </w:rPr>
        <w:t xml:space="preserve">in significant personal, social and economic </w:t>
      </w:r>
      <w:r w:rsidR="009E382C">
        <w:rPr>
          <w:rFonts w:ascii="Times New Roman" w:hAnsi="Times New Roman" w:cs="Times New Roman"/>
          <w:sz w:val="24"/>
          <w:szCs w:val="24"/>
        </w:rPr>
        <w:t>costs</w:t>
      </w:r>
      <w:r w:rsidRPr="00020903">
        <w:rPr>
          <w:rFonts w:ascii="Times New Roman" w:hAnsi="Times New Roman" w:cs="Times New Roman"/>
          <w:sz w:val="24"/>
          <w:szCs w:val="24"/>
        </w:rPr>
        <w:t xml:space="preserve">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w:t>
      </w:r>
    </w:p>
    <w:p w:rsidR="009E382C" w:rsidRDefault="00020903" w:rsidP="00020903">
      <w:pPr>
        <w:spacing w:after="0"/>
        <w:jc w:val="both"/>
        <w:rPr>
          <w:rFonts w:ascii="Times New Roman" w:hAnsi="Times New Roman" w:cs="Times New Roman"/>
          <w:sz w:val="24"/>
          <w:szCs w:val="24"/>
        </w:rPr>
      </w:pPr>
      <w:r w:rsidRPr="009E382C">
        <w:rPr>
          <w:rFonts w:ascii="Times New Roman" w:hAnsi="Times New Roman" w:cs="Times New Roman"/>
          <w:b/>
          <w:sz w:val="24"/>
          <w:szCs w:val="24"/>
        </w:rPr>
        <w:t>Methodology &amp; Theoretical Orientation:</w:t>
      </w:r>
      <w:r w:rsidR="009E382C">
        <w:rPr>
          <w:rFonts w:ascii="Times New Roman" w:hAnsi="Times New Roman" w:cs="Times New Roman"/>
          <w:sz w:val="24"/>
          <w:szCs w:val="24"/>
        </w:rPr>
        <w:t xml:space="preserve"> An inter</w:t>
      </w:r>
      <w:r w:rsidRPr="00020903">
        <w:rPr>
          <w:rFonts w:ascii="Times New Roman" w:hAnsi="Times New Roman" w:cs="Times New Roman"/>
          <w:sz w:val="24"/>
          <w:szCs w:val="24"/>
        </w:rPr>
        <w:t xml:space="preserve">subjective ethnographic study using hermeneutic dialogue was utilized during participant observation, </w:t>
      </w:r>
      <w:r w:rsidR="009E382C">
        <w:rPr>
          <w:rFonts w:ascii="Times New Roman" w:hAnsi="Times New Roman" w:cs="Times New Roman"/>
          <w:sz w:val="24"/>
          <w:szCs w:val="24"/>
        </w:rPr>
        <w:t>in-depth</w:t>
      </w:r>
      <w:r w:rsidRPr="00020903">
        <w:rPr>
          <w:rFonts w:ascii="Times New Roman" w:hAnsi="Times New Roman" w:cs="Times New Roman"/>
          <w:sz w:val="24"/>
          <w:szCs w:val="24"/>
        </w:rPr>
        <w:t xml:space="preserve"> interviews and focus groups. An ecological framework was utilized to focus on the interaction between the counselors and the staff to understand </w:t>
      </w:r>
      <w:r w:rsidR="009E382C">
        <w:rPr>
          <w:rFonts w:ascii="Times New Roman" w:hAnsi="Times New Roman" w:cs="Times New Roman"/>
          <w:sz w:val="24"/>
          <w:szCs w:val="24"/>
        </w:rPr>
        <w:t>this relationship</w:t>
      </w:r>
      <w:r w:rsidRPr="00020903">
        <w:rPr>
          <w:rFonts w:ascii="Times New Roman" w:hAnsi="Times New Roman" w:cs="Times New Roman"/>
          <w:sz w:val="24"/>
          <w:szCs w:val="24"/>
        </w:rPr>
        <w:t xml:space="preserve"> and </w:t>
      </w:r>
      <w:r w:rsidR="009E382C">
        <w:rPr>
          <w:rFonts w:ascii="Times New Roman" w:hAnsi="Times New Roman" w:cs="Times New Roman"/>
          <w:sz w:val="24"/>
          <w:szCs w:val="24"/>
        </w:rPr>
        <w:t>the context in which it occurs.</w:t>
      </w:r>
    </w:p>
    <w:p w:rsidR="009E382C" w:rsidRDefault="00020903" w:rsidP="00020903">
      <w:pPr>
        <w:spacing w:after="0"/>
        <w:jc w:val="both"/>
        <w:rPr>
          <w:rFonts w:ascii="Times New Roman" w:hAnsi="Times New Roman" w:cs="Times New Roman"/>
          <w:sz w:val="24"/>
          <w:szCs w:val="24"/>
        </w:rPr>
      </w:pPr>
      <w:r w:rsidRPr="009E382C">
        <w:rPr>
          <w:rFonts w:ascii="Times New Roman" w:hAnsi="Times New Roman" w:cs="Times New Roman"/>
          <w:b/>
          <w:sz w:val="24"/>
          <w:szCs w:val="24"/>
        </w:rPr>
        <w:t xml:space="preserve">Findings: </w:t>
      </w:r>
      <w:r w:rsidRPr="00020903">
        <w:rPr>
          <w:rFonts w:ascii="Times New Roman" w:hAnsi="Times New Roman" w:cs="Times New Roman"/>
          <w:sz w:val="24"/>
          <w:szCs w:val="24"/>
        </w:rPr>
        <w:t xml:space="preserve">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w:t>
      </w:r>
    </w:p>
    <w:p w:rsidR="009E382C" w:rsidRDefault="00020903" w:rsidP="00020903">
      <w:pPr>
        <w:spacing w:after="0"/>
        <w:jc w:val="both"/>
        <w:rPr>
          <w:rFonts w:ascii="Times New Roman" w:hAnsi="Times New Roman" w:cs="Times New Roman"/>
          <w:sz w:val="24"/>
          <w:szCs w:val="24"/>
        </w:rPr>
      </w:pPr>
      <w:r w:rsidRPr="009E382C">
        <w:rPr>
          <w:rFonts w:ascii="Times New Roman" w:hAnsi="Times New Roman" w:cs="Times New Roman"/>
          <w:b/>
          <w:sz w:val="24"/>
          <w:szCs w:val="24"/>
        </w:rPr>
        <w:t xml:space="preserve">Conclusion &amp; Significance: </w:t>
      </w:r>
      <w:r w:rsidRPr="00020903">
        <w:rPr>
          <w:rFonts w:ascii="Times New Roman" w:hAnsi="Times New Roman" w:cs="Times New Roman"/>
          <w:sz w:val="24"/>
          <w:szCs w:val="24"/>
        </w:rPr>
        <w:t xml:space="preserve">Women with alcohol dependence and PTSD with a history of IPV want help however the health and social services do not always recognize their calls for help or their symptoms of distress. Recommendations are made for </w:t>
      </w:r>
      <w:r w:rsidR="009E382C">
        <w:rPr>
          <w:rFonts w:ascii="Times New Roman" w:hAnsi="Times New Roman" w:cs="Times New Roman"/>
          <w:sz w:val="24"/>
          <w:szCs w:val="24"/>
        </w:rPr>
        <w:t>treatment centers to become trauma-informed would help this recognition.</w:t>
      </w:r>
    </w:p>
    <w:p w:rsidR="00020903" w:rsidRPr="00020903" w:rsidRDefault="00020903" w:rsidP="00020903">
      <w:pPr>
        <w:spacing w:after="0"/>
        <w:jc w:val="both"/>
        <w:rPr>
          <w:rFonts w:ascii="Times New Roman" w:hAnsi="Times New Roman" w:cs="Times New Roman"/>
          <w:sz w:val="24"/>
          <w:szCs w:val="24"/>
        </w:rPr>
      </w:pPr>
      <w:r w:rsidRPr="00020903">
        <w:rPr>
          <w:rFonts w:ascii="Times New Roman" w:hAnsi="Times New Roman" w:cs="Times New Roman"/>
          <w:sz w:val="24"/>
          <w:szCs w:val="24"/>
        </w:rPr>
        <w:t xml:space="preserve"> </w:t>
      </w:r>
    </w:p>
    <w:p w:rsidR="00020903" w:rsidRPr="009E382C" w:rsidRDefault="00020903" w:rsidP="00020903">
      <w:pPr>
        <w:spacing w:after="0"/>
        <w:jc w:val="both"/>
        <w:rPr>
          <w:rFonts w:ascii="Times New Roman" w:hAnsi="Times New Roman" w:cs="Times New Roman"/>
          <w:i/>
          <w:sz w:val="24"/>
          <w:szCs w:val="24"/>
        </w:rPr>
      </w:pPr>
      <w:r w:rsidRPr="009E382C">
        <w:rPr>
          <w:rFonts w:ascii="Times New Roman" w:hAnsi="Times New Roman" w:cs="Times New Roman"/>
          <w:b/>
          <w:sz w:val="24"/>
          <w:szCs w:val="24"/>
        </w:rPr>
        <w:t>Biography</w:t>
      </w:r>
      <w:r w:rsidRPr="00020903">
        <w:rPr>
          <w:rFonts w:ascii="Times New Roman" w:hAnsi="Times New Roman" w:cs="Times New Roman"/>
          <w:sz w:val="24"/>
          <w:szCs w:val="24"/>
        </w:rPr>
        <w:t xml:space="preserve"> </w:t>
      </w:r>
      <w:r w:rsidR="009E382C">
        <w:rPr>
          <w:rFonts w:ascii="Times New Roman" w:hAnsi="Times New Roman" w:cs="Times New Roman"/>
          <w:i/>
          <w:sz w:val="24"/>
          <w:szCs w:val="24"/>
        </w:rPr>
        <w:t>(150-</w:t>
      </w:r>
      <w:r w:rsidRPr="009E382C">
        <w:rPr>
          <w:rFonts w:ascii="Times New Roman" w:hAnsi="Times New Roman" w:cs="Times New Roman"/>
          <w:i/>
          <w:sz w:val="24"/>
          <w:szCs w:val="24"/>
        </w:rPr>
        <w:t>word limit)</w:t>
      </w:r>
    </w:p>
    <w:p w:rsidR="00020903" w:rsidRPr="00020903" w:rsidRDefault="00020903" w:rsidP="00020903">
      <w:pPr>
        <w:spacing w:after="0"/>
        <w:jc w:val="both"/>
        <w:rPr>
          <w:rFonts w:ascii="Times New Roman" w:hAnsi="Times New Roman" w:cs="Times New Roman"/>
          <w:sz w:val="24"/>
          <w:szCs w:val="24"/>
        </w:rPr>
      </w:pPr>
      <w:r w:rsidRPr="00020903">
        <w:rPr>
          <w:rFonts w:ascii="Times New Roman" w:hAnsi="Times New Roman" w:cs="Times New Roman"/>
          <w:sz w:val="24"/>
          <w:szCs w:val="24"/>
        </w:rPr>
        <w:t xml:space="preserve">Dr has her expertise in evaluation and passion </w:t>
      </w:r>
      <w:r w:rsidR="002E058E">
        <w:rPr>
          <w:rFonts w:ascii="Times New Roman" w:hAnsi="Times New Roman" w:cs="Times New Roman"/>
          <w:sz w:val="24"/>
          <w:szCs w:val="24"/>
        </w:rPr>
        <w:t>for</w:t>
      </w:r>
      <w:bookmarkStart w:id="0" w:name="_GoBack"/>
      <w:bookmarkEnd w:id="0"/>
      <w:r w:rsidRPr="00020903">
        <w:rPr>
          <w:rFonts w:ascii="Times New Roman" w:hAnsi="Times New Roman" w:cs="Times New Roman"/>
          <w:sz w:val="24"/>
          <w:szCs w:val="24"/>
        </w:rPr>
        <w:t xml:space="preserve"> improving health and wellbeing. Her open and contextual evaluation model based on responsive constructivists creates new pathways for improving healthcare. She has built this model after years of experience in research, evaluation, teaching and administration</w:t>
      </w:r>
      <w:r w:rsidR="00047A10">
        <w:rPr>
          <w:rFonts w:ascii="Times New Roman" w:hAnsi="Times New Roman" w:cs="Times New Roman"/>
          <w:sz w:val="24"/>
          <w:szCs w:val="24"/>
        </w:rPr>
        <w:t xml:space="preserve"> </w:t>
      </w:r>
      <w:r w:rsidRPr="00020903">
        <w:rPr>
          <w:rFonts w:ascii="Times New Roman" w:hAnsi="Times New Roman" w:cs="Times New Roman"/>
          <w:sz w:val="24"/>
          <w:szCs w:val="24"/>
        </w:rPr>
        <w:t xml:space="preserve">both in hospital and education institutions. The foundation is based on </w:t>
      </w:r>
      <w:r w:rsidR="00047A10">
        <w:rPr>
          <w:rFonts w:ascii="Times New Roman" w:hAnsi="Times New Roman" w:cs="Times New Roman"/>
          <w:sz w:val="24"/>
          <w:szCs w:val="24"/>
        </w:rPr>
        <w:t>fourth-generation</w:t>
      </w:r>
      <w:r w:rsidRPr="00020903">
        <w:rPr>
          <w:rFonts w:ascii="Times New Roman" w:hAnsi="Times New Roman" w:cs="Times New Roman"/>
          <w:sz w:val="24"/>
          <w:szCs w:val="24"/>
        </w:rPr>
        <w:t xml:space="preserve"> evaluation which is a methodology that utilizes the previous generations of evaluation: measurement, description and judgment. It allows for </w:t>
      </w:r>
      <w:r w:rsidR="00047A10">
        <w:rPr>
          <w:rFonts w:ascii="Times New Roman" w:hAnsi="Times New Roman" w:cs="Times New Roman"/>
          <w:sz w:val="24"/>
          <w:szCs w:val="24"/>
        </w:rPr>
        <w:t>value pluralism</w:t>
      </w:r>
      <w:r w:rsidRPr="00020903">
        <w:rPr>
          <w:rFonts w:ascii="Times New Roman" w:hAnsi="Times New Roman" w:cs="Times New Roman"/>
          <w:sz w:val="24"/>
          <w:szCs w:val="24"/>
        </w:rPr>
        <w:t>. This approach is responsive to all stakeholders and has a different way of focusing.</w:t>
      </w:r>
    </w:p>
    <w:p w:rsidR="009E382C" w:rsidRDefault="009E382C" w:rsidP="009E382C">
      <w:pPr>
        <w:spacing w:after="0"/>
        <w:jc w:val="right"/>
        <w:rPr>
          <w:rFonts w:ascii="Times New Roman" w:hAnsi="Times New Roman" w:cs="Times New Roman"/>
          <w:sz w:val="24"/>
          <w:szCs w:val="24"/>
        </w:rPr>
      </w:pPr>
    </w:p>
    <w:p w:rsidR="00020903" w:rsidRPr="00020903" w:rsidRDefault="009E382C" w:rsidP="009E382C">
      <w:pPr>
        <w:spacing w:after="0"/>
        <w:jc w:val="right"/>
        <w:rPr>
          <w:rFonts w:ascii="Times New Roman" w:hAnsi="Times New Roman" w:cs="Times New Roman"/>
          <w:sz w:val="24"/>
          <w:szCs w:val="24"/>
        </w:rPr>
      </w:pPr>
      <w:r>
        <w:rPr>
          <w:rFonts w:ascii="Times New Roman" w:hAnsi="Times New Roman" w:cs="Times New Roman"/>
          <w:sz w:val="24"/>
          <w:szCs w:val="24"/>
        </w:rPr>
        <w:t>e</w:t>
      </w:r>
      <w:r w:rsidR="00020903" w:rsidRPr="00020903">
        <w:rPr>
          <w:rFonts w:ascii="Times New Roman" w:hAnsi="Times New Roman" w:cs="Times New Roman"/>
          <w:sz w:val="24"/>
          <w:szCs w:val="24"/>
        </w:rPr>
        <w:t>: dr</w:t>
      </w:r>
      <w:r w:rsidR="00F3738C">
        <w:rPr>
          <w:rFonts w:ascii="Times New Roman" w:hAnsi="Times New Roman" w:cs="Times New Roman"/>
          <w:sz w:val="24"/>
          <w:szCs w:val="24"/>
        </w:rPr>
        <w:t>xxxxxxxx</w:t>
      </w:r>
      <w:r w:rsidR="00020903" w:rsidRPr="00020903">
        <w:rPr>
          <w:rFonts w:ascii="Times New Roman" w:hAnsi="Times New Roman" w:cs="Times New Roman"/>
          <w:sz w:val="24"/>
          <w:szCs w:val="24"/>
        </w:rPr>
        <w:t>@xxxmail.com</w:t>
      </w:r>
    </w:p>
    <w:p w:rsidR="009E382C" w:rsidRDefault="009E382C" w:rsidP="00020903">
      <w:pPr>
        <w:spacing w:after="0"/>
        <w:jc w:val="both"/>
        <w:rPr>
          <w:rFonts w:ascii="Times New Roman" w:hAnsi="Times New Roman" w:cs="Times New Roman"/>
          <w:sz w:val="24"/>
          <w:szCs w:val="24"/>
        </w:rPr>
      </w:pPr>
    </w:p>
    <w:p w:rsidR="009E382C" w:rsidRDefault="009E382C" w:rsidP="00020903">
      <w:pPr>
        <w:spacing w:after="0"/>
        <w:jc w:val="both"/>
        <w:rPr>
          <w:rFonts w:ascii="Times New Roman" w:hAnsi="Times New Roman" w:cs="Times New Roman"/>
          <w:sz w:val="24"/>
          <w:szCs w:val="24"/>
        </w:rPr>
      </w:pPr>
    </w:p>
    <w:p w:rsidR="00AB5B18" w:rsidRPr="00020903" w:rsidRDefault="00020903" w:rsidP="00020903">
      <w:pPr>
        <w:spacing w:after="0"/>
        <w:jc w:val="both"/>
        <w:rPr>
          <w:rFonts w:ascii="Times New Roman" w:hAnsi="Times New Roman" w:cs="Times New Roman"/>
          <w:sz w:val="24"/>
          <w:szCs w:val="24"/>
        </w:rPr>
      </w:pPr>
      <w:r w:rsidRPr="00020903">
        <w:rPr>
          <w:rFonts w:ascii="Times New Roman" w:hAnsi="Times New Roman" w:cs="Times New Roman"/>
          <w:sz w:val="24"/>
          <w:szCs w:val="24"/>
        </w:rPr>
        <w:t>Notes/Comments:</w:t>
      </w:r>
    </w:p>
    <w:sectPr w:rsidR="00AB5B18" w:rsidRPr="00020903" w:rsidSect="00020903">
      <w:type w:val="continuous"/>
      <w:pgSz w:w="11900" w:h="16840"/>
      <w:pgMar w:top="1134" w:right="1134" w:bottom="1134" w:left="1134"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3F2"/>
    <w:rsid w:val="00020903"/>
    <w:rsid w:val="00047A10"/>
    <w:rsid w:val="002E058E"/>
    <w:rsid w:val="00304548"/>
    <w:rsid w:val="00514B89"/>
    <w:rsid w:val="005A4082"/>
    <w:rsid w:val="005C1180"/>
    <w:rsid w:val="00663B29"/>
    <w:rsid w:val="008B5608"/>
    <w:rsid w:val="009543F2"/>
    <w:rsid w:val="009E382C"/>
    <w:rsid w:val="00CB387D"/>
    <w:rsid w:val="00E417AD"/>
    <w:rsid w:val="00F3738C"/>
    <w:rsid w:val="00FA429A"/>
    <w:rsid w:val="00FD41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EBBEA"/>
  <w15:chartTrackingRefBased/>
  <w15:docId w15:val="{286C89D7-2625-4D4D-A14E-E1172A51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1DA6F-ED4C-4E09-B06B-66E9174A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PULSUS</dc:creator>
  <cp:keywords/>
  <dc:description/>
  <cp:lastModifiedBy>Ajitha</cp:lastModifiedBy>
  <cp:revision>8</cp:revision>
  <dcterms:created xsi:type="dcterms:W3CDTF">2022-03-23T04:04:00Z</dcterms:created>
  <dcterms:modified xsi:type="dcterms:W3CDTF">2022-03-23T04:34:00Z</dcterms:modified>
</cp:coreProperties>
</file>