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13E9" w:rsidRDefault="00794366" w:rsidP="00992D54">
      <w:pPr>
        <w:tabs>
          <w:tab w:val="left" w:pos="8523"/>
        </w:tabs>
        <w:spacing w:line="480" w:lineRule="auto"/>
        <w:jc w:val="both"/>
        <w:rPr>
          <w:b/>
          <w:lang w:val="en-US" w:eastAsia="en-US"/>
        </w:rPr>
      </w:pPr>
      <w:r>
        <w:rPr>
          <w:b/>
          <w:noProof/>
          <w:lang w:val="en-US" w:eastAsia="en-US"/>
        </w:rPr>
        <w:drawing>
          <wp:inline distT="0" distB="0" distL="0" distR="0" wp14:anchorId="06A8E5AE" wp14:editId="187FEBB3">
            <wp:extent cx="1293341" cy="1276865"/>
            <wp:effectExtent l="0" t="0" r="2540" b="0"/>
            <wp:docPr id="3" name="Picture 3" descr="C:\Users\First Cash Pawn\Downloads\IMG-20170209-WA0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irst Cash Pawn\Downloads\IMG-20170209-WA003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42" cy="1278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92D54">
        <w:rPr>
          <w:b/>
          <w:lang w:val="en-US" w:eastAsia="en-US"/>
        </w:rPr>
        <w:tab/>
      </w:r>
    </w:p>
    <w:p w:rsidR="007A326D" w:rsidRDefault="007A326D" w:rsidP="00794366">
      <w:pPr>
        <w:jc w:val="both"/>
        <w:rPr>
          <w:b/>
          <w:lang w:val="en-US" w:eastAsia="en-US"/>
        </w:rPr>
      </w:pPr>
      <w:r>
        <w:rPr>
          <w:b/>
          <w:lang w:val="en-US" w:eastAsia="en-US"/>
        </w:rPr>
        <w:t xml:space="preserve">Title: </w:t>
      </w:r>
      <w:r w:rsidRPr="007A326D">
        <w:rPr>
          <w:b/>
          <w:lang w:val="en-US" w:eastAsia="en-US"/>
        </w:rPr>
        <w:t xml:space="preserve">Efficacy of combined versus open and closed kinetic-chain exercises on selected physical performance indices and health-related quality of life </w:t>
      </w:r>
      <w:r>
        <w:rPr>
          <w:b/>
          <w:lang w:val="en-US" w:eastAsia="en-US"/>
        </w:rPr>
        <w:t xml:space="preserve">of </w:t>
      </w:r>
      <w:r w:rsidRPr="007A326D">
        <w:rPr>
          <w:b/>
          <w:lang w:val="en-US" w:eastAsia="en-US"/>
        </w:rPr>
        <w:t>individuals with knee osteoarthritis</w:t>
      </w:r>
    </w:p>
    <w:p w:rsidR="00794366" w:rsidRDefault="00794366" w:rsidP="007A326D">
      <w:pPr>
        <w:spacing w:line="480" w:lineRule="auto"/>
        <w:jc w:val="both"/>
        <w:rPr>
          <w:b/>
          <w:lang w:val="en-US" w:eastAsia="en-US"/>
        </w:rPr>
      </w:pPr>
    </w:p>
    <w:p w:rsidR="007A326D" w:rsidRPr="007A326D" w:rsidRDefault="007A326D" w:rsidP="007A326D">
      <w:pPr>
        <w:spacing w:line="480" w:lineRule="auto"/>
        <w:jc w:val="both"/>
        <w:rPr>
          <w:b/>
          <w:lang w:val="en-US" w:eastAsia="en-US"/>
        </w:rPr>
      </w:pPr>
      <w:r>
        <w:rPr>
          <w:b/>
          <w:lang w:val="en-US" w:eastAsia="en-US"/>
        </w:rPr>
        <w:t>Oladapo M. Olagbegi</w:t>
      </w:r>
      <w:r w:rsidR="001900A7">
        <w:rPr>
          <w:b/>
          <w:lang w:val="en-US" w:eastAsia="en-US"/>
        </w:rPr>
        <w:t xml:space="preserve"> </w:t>
      </w:r>
      <w:r w:rsidR="001900A7" w:rsidRPr="001900A7">
        <w:rPr>
          <w:b/>
          <w:vertAlign w:val="superscript"/>
          <w:lang w:val="en-US" w:eastAsia="en-US"/>
        </w:rPr>
        <w:t>1</w:t>
      </w:r>
      <w:r>
        <w:rPr>
          <w:b/>
          <w:lang w:val="en-US" w:eastAsia="en-US"/>
        </w:rPr>
        <w:t>, Babatunde O. Adegoke</w:t>
      </w:r>
      <w:r w:rsidR="001900A7">
        <w:rPr>
          <w:b/>
          <w:lang w:val="en-US" w:eastAsia="en-US"/>
        </w:rPr>
        <w:t xml:space="preserve"> </w:t>
      </w:r>
      <w:r w:rsidR="001900A7" w:rsidRPr="001900A7">
        <w:rPr>
          <w:b/>
          <w:vertAlign w:val="superscript"/>
          <w:lang w:val="en-US" w:eastAsia="en-US"/>
        </w:rPr>
        <w:t>2</w:t>
      </w:r>
      <w:r w:rsidR="001900A7">
        <w:rPr>
          <w:b/>
          <w:lang w:val="en-US" w:eastAsia="en-US"/>
        </w:rPr>
        <w:t>,</w:t>
      </w:r>
      <w:r>
        <w:rPr>
          <w:b/>
          <w:lang w:val="en-US" w:eastAsia="en-US"/>
        </w:rPr>
        <w:t xml:space="preserve"> Adesola C. Odole</w:t>
      </w:r>
      <w:r w:rsidR="001900A7">
        <w:rPr>
          <w:b/>
          <w:lang w:val="en-US" w:eastAsia="en-US"/>
        </w:rPr>
        <w:t xml:space="preserve"> </w:t>
      </w:r>
      <w:r w:rsidR="001900A7" w:rsidRPr="001900A7">
        <w:rPr>
          <w:b/>
          <w:vertAlign w:val="superscript"/>
          <w:lang w:val="en-US" w:eastAsia="en-US"/>
        </w:rPr>
        <w:t>2</w:t>
      </w:r>
    </w:p>
    <w:p w:rsidR="001900A7" w:rsidRDefault="001900A7" w:rsidP="00794366">
      <w:pPr>
        <w:pStyle w:val="ListParagraph"/>
        <w:numPr>
          <w:ilvl w:val="0"/>
          <w:numId w:val="1"/>
        </w:numPr>
        <w:tabs>
          <w:tab w:val="left" w:pos="2529"/>
        </w:tabs>
        <w:spacing w:after="200"/>
        <w:jc w:val="both"/>
        <w:rPr>
          <w:rFonts w:eastAsiaTheme="minorEastAsia"/>
          <w:b/>
          <w:lang w:val="en-US" w:eastAsia="en-US"/>
        </w:rPr>
      </w:pPr>
      <w:r>
        <w:rPr>
          <w:rFonts w:eastAsiaTheme="minorEastAsia"/>
          <w:b/>
          <w:lang w:val="en-US" w:eastAsia="en-US"/>
        </w:rPr>
        <w:t>Department of Human Kinetics and Ergonomics, Rhodes University, Grahamstown, South Africa</w:t>
      </w:r>
    </w:p>
    <w:p w:rsidR="007A326D" w:rsidRPr="007A3726" w:rsidRDefault="001900A7" w:rsidP="00794366">
      <w:pPr>
        <w:pStyle w:val="ListParagraph"/>
        <w:numPr>
          <w:ilvl w:val="0"/>
          <w:numId w:val="1"/>
        </w:numPr>
        <w:tabs>
          <w:tab w:val="left" w:pos="2529"/>
        </w:tabs>
        <w:spacing w:after="200"/>
        <w:jc w:val="both"/>
        <w:rPr>
          <w:rFonts w:eastAsiaTheme="minorEastAsia"/>
          <w:b/>
          <w:lang w:val="en-US" w:eastAsia="en-US"/>
        </w:rPr>
      </w:pPr>
      <w:r>
        <w:rPr>
          <w:rFonts w:eastAsiaTheme="minorEastAsia"/>
          <w:b/>
          <w:lang w:val="en-US" w:eastAsia="en-US"/>
        </w:rPr>
        <w:t>Department of Physiotherapy, College of Medicine, University of Ibadan, Nigeria</w:t>
      </w:r>
    </w:p>
    <w:p w:rsidR="007A326D" w:rsidRPr="007A326D" w:rsidRDefault="007A326D" w:rsidP="007A3726">
      <w:pPr>
        <w:spacing w:after="200"/>
        <w:jc w:val="both"/>
        <w:rPr>
          <w:rFonts w:eastAsiaTheme="minorEastAsia"/>
          <w:lang w:val="en-GB" w:eastAsia="en-US"/>
        </w:rPr>
      </w:pPr>
      <w:r w:rsidRPr="007A326D">
        <w:rPr>
          <w:rFonts w:eastAsiaTheme="minorEastAsia"/>
          <w:b/>
          <w:lang w:val="en-GB" w:eastAsia="en-US"/>
        </w:rPr>
        <w:t>Background</w:t>
      </w:r>
      <w:r w:rsidRPr="007A326D">
        <w:rPr>
          <w:rFonts w:eastAsiaTheme="minorEastAsia"/>
          <w:lang w:val="en-GB" w:eastAsia="en-US"/>
        </w:rPr>
        <w:t>: Effects of combined kinetic-chain exercises</w:t>
      </w:r>
      <w:r w:rsidR="00E60AFA">
        <w:rPr>
          <w:rFonts w:eastAsiaTheme="minorEastAsia"/>
          <w:lang w:val="en-GB" w:eastAsia="en-US"/>
        </w:rPr>
        <w:t xml:space="preserve"> </w:t>
      </w:r>
      <w:r w:rsidRPr="007A326D">
        <w:rPr>
          <w:rFonts w:eastAsiaTheme="minorEastAsia"/>
          <w:lang w:val="en-GB" w:eastAsia="en-US"/>
        </w:rPr>
        <w:t xml:space="preserve">on physical performance and quality of life in knee osteoarthritis (OA) has not been reported. This study was </w:t>
      </w:r>
      <w:r w:rsidR="001978A5">
        <w:rPr>
          <w:rFonts w:eastAsiaTheme="minorEastAsia"/>
          <w:lang w:val="en-GB" w:eastAsia="en-US"/>
        </w:rPr>
        <w:t xml:space="preserve">designed to investigate </w:t>
      </w:r>
      <w:r w:rsidRPr="007A326D">
        <w:rPr>
          <w:rFonts w:eastAsiaTheme="minorEastAsia"/>
          <w:lang w:val="en-GB" w:eastAsia="en-US"/>
        </w:rPr>
        <w:t>and compare the effects open, closed and combined kinetic-chain exercises (OKCE, CKCE and CCE) on performance-based physical function and health-related quality of life (HRQoL) of patients with knee OA.</w:t>
      </w:r>
      <w:r w:rsidRPr="007A326D">
        <w:rPr>
          <w:rFonts w:eastAsiaTheme="minorEastAsia"/>
          <w:b/>
          <w:lang w:val="en-US" w:eastAsia="en-US"/>
        </w:rPr>
        <w:t xml:space="preserve"> Method: </w:t>
      </w:r>
      <w:r w:rsidRPr="007A326D">
        <w:rPr>
          <w:rFonts w:eastAsiaTheme="minorEastAsia"/>
          <w:lang w:val="en-US" w:eastAsia="en-US"/>
        </w:rPr>
        <w:t>The randomized clinical trial involved</w:t>
      </w:r>
      <w:r w:rsidRPr="007A326D">
        <w:rPr>
          <w:rFonts w:eastAsiaTheme="minorEastAsia"/>
          <w:b/>
          <w:lang w:val="en-US" w:eastAsia="en-US"/>
        </w:rPr>
        <w:t xml:space="preserve"> </w:t>
      </w:r>
      <w:r w:rsidRPr="007A326D">
        <w:rPr>
          <w:rFonts w:eastAsiaTheme="minorEastAsia"/>
          <w:lang w:val="en-US" w:eastAsia="en-US"/>
        </w:rPr>
        <w:t xml:space="preserve">ninety-six consecutive patients with knee OA who were randomly assigned to one of OKCE, CKCE or </w:t>
      </w:r>
      <w:smartTag w:uri="urn:schemas-microsoft-com:office:smarttags" w:element="stockticker">
        <w:r w:rsidRPr="007A326D">
          <w:rPr>
            <w:rFonts w:eastAsiaTheme="minorEastAsia"/>
            <w:lang w:val="en-US" w:eastAsia="en-US"/>
          </w:rPr>
          <w:t>CCE</w:t>
        </w:r>
      </w:smartTag>
      <w:r w:rsidRPr="007A326D">
        <w:rPr>
          <w:rFonts w:eastAsiaTheme="minorEastAsia"/>
          <w:lang w:val="en-US" w:eastAsia="en-US"/>
        </w:rPr>
        <w:t xml:space="preserve"> groups. Comfortable and fast pace walking time (CPWT, FPWT) and HRQoL were assessed using a stopwatch and Arthritis Impact Measurement respectively at baseline and at the end of weeks 4, 8 and 12. </w:t>
      </w:r>
      <w:r w:rsidRPr="007A326D">
        <w:rPr>
          <w:rFonts w:eastAsiaTheme="minorEastAsia"/>
          <w:b/>
          <w:lang w:val="en-US" w:eastAsia="en-US"/>
        </w:rPr>
        <w:t xml:space="preserve">Results: </w:t>
      </w:r>
      <w:r w:rsidR="00BC6FAE">
        <w:rPr>
          <w:rFonts w:eastAsiaTheme="minorEastAsia"/>
          <w:lang w:val="en-US" w:eastAsia="en-US"/>
        </w:rPr>
        <w:t xml:space="preserve">The </w:t>
      </w:r>
      <w:r w:rsidRPr="007A326D">
        <w:rPr>
          <w:rFonts w:eastAsiaTheme="minorEastAsia"/>
          <w:lang w:val="en-US" w:eastAsia="en-US"/>
        </w:rPr>
        <w:t>groups were comparable regarding their demographic and dependent variables at baseline; there were no significant intergroup differences in CPWT, FPWT and HRQoL at the end of weeks 4, 8 and 12. CCE group (-2.38</w:t>
      </w:r>
      <w:r w:rsidR="00794366">
        <w:rPr>
          <w:rFonts w:eastAsiaTheme="minorEastAsia"/>
          <w:lang w:val="en-US" w:eastAsia="en-US"/>
        </w:rPr>
        <w:t>±</w:t>
      </w:r>
      <w:r w:rsidR="00794366">
        <w:rPr>
          <w:rFonts w:eastAsiaTheme="minorEastAsia"/>
          <w:lang w:val="en-US" w:eastAsia="en-US"/>
        </w:rPr>
        <w:t>2.52</w:t>
      </w:r>
      <w:r w:rsidR="001F3A9E">
        <w:rPr>
          <w:rFonts w:eastAsiaTheme="minorEastAsia"/>
          <w:lang w:val="en-US" w:eastAsia="en-US"/>
        </w:rPr>
        <w:t xml:space="preserve"> </w:t>
      </w:r>
      <w:r w:rsidR="00794366">
        <w:rPr>
          <w:rFonts w:eastAsiaTheme="minorEastAsia"/>
          <w:lang w:val="en-US" w:eastAsia="en-US"/>
        </w:rPr>
        <w:t>s</w:t>
      </w:r>
      <w:r w:rsidRPr="007A326D">
        <w:rPr>
          <w:rFonts w:eastAsiaTheme="minorEastAsia"/>
          <w:lang w:val="en-US" w:eastAsia="en-US"/>
        </w:rPr>
        <w:t xml:space="preserve">) however demonstrated significantly higher mean change </w:t>
      </w:r>
      <w:r w:rsidR="00626A0C">
        <w:rPr>
          <w:rFonts w:eastAsiaTheme="minorEastAsia"/>
          <w:lang w:val="en-US" w:eastAsia="en-US"/>
        </w:rPr>
        <w:t xml:space="preserve">in CPWT </w:t>
      </w:r>
      <w:r w:rsidR="00E776F3">
        <w:rPr>
          <w:rFonts w:eastAsiaTheme="minorEastAsia"/>
          <w:lang w:val="en-US" w:eastAsia="en-US"/>
        </w:rPr>
        <w:t xml:space="preserve">than </w:t>
      </w:r>
      <w:r w:rsidRPr="007A326D">
        <w:rPr>
          <w:rFonts w:eastAsiaTheme="minorEastAsia"/>
          <w:lang w:val="en-US" w:eastAsia="en-US"/>
        </w:rPr>
        <w:t>either OKCE (-1.31</w:t>
      </w:r>
      <w:r w:rsidR="00794366">
        <w:rPr>
          <w:rFonts w:eastAsiaTheme="minorEastAsia"/>
          <w:lang w:val="en-US" w:eastAsia="en-US"/>
        </w:rPr>
        <w:t>±</w:t>
      </w:r>
      <w:r w:rsidR="00794366">
        <w:rPr>
          <w:rFonts w:eastAsiaTheme="minorEastAsia"/>
          <w:lang w:val="en-US" w:eastAsia="en-US"/>
        </w:rPr>
        <w:t>1.03</w:t>
      </w:r>
      <w:r w:rsidR="001F3A9E">
        <w:rPr>
          <w:rFonts w:eastAsiaTheme="minorEastAsia"/>
          <w:lang w:val="en-US" w:eastAsia="en-US"/>
        </w:rPr>
        <w:t xml:space="preserve"> </w:t>
      </w:r>
      <w:r w:rsidR="00794366">
        <w:rPr>
          <w:rFonts w:eastAsiaTheme="minorEastAsia"/>
          <w:lang w:val="en-US" w:eastAsia="en-US"/>
        </w:rPr>
        <w:t>s</w:t>
      </w:r>
      <w:r w:rsidRPr="007A326D">
        <w:rPr>
          <w:rFonts w:eastAsiaTheme="minorEastAsia"/>
          <w:lang w:val="en-US" w:eastAsia="en-US"/>
        </w:rPr>
        <w:t>) or CKCE group (-1.44</w:t>
      </w:r>
      <w:r w:rsidR="00992D54">
        <w:rPr>
          <w:rFonts w:eastAsiaTheme="minorEastAsia"/>
          <w:lang w:val="en-US" w:eastAsia="en-US"/>
        </w:rPr>
        <w:t>±1.19</w:t>
      </w:r>
      <w:r w:rsidR="001F3A9E">
        <w:rPr>
          <w:rFonts w:eastAsiaTheme="minorEastAsia"/>
          <w:lang w:val="en-US" w:eastAsia="en-US"/>
        </w:rPr>
        <w:t xml:space="preserve"> </w:t>
      </w:r>
      <w:r w:rsidR="00794366">
        <w:rPr>
          <w:rFonts w:eastAsiaTheme="minorEastAsia"/>
          <w:lang w:val="en-US" w:eastAsia="en-US"/>
        </w:rPr>
        <w:t>s</w:t>
      </w:r>
      <w:r w:rsidRPr="007A326D">
        <w:rPr>
          <w:rFonts w:eastAsiaTheme="minorEastAsia"/>
          <w:lang w:val="en-US" w:eastAsia="en-US"/>
        </w:rPr>
        <w:t>)</w:t>
      </w:r>
      <w:r w:rsidR="00626A0C">
        <w:rPr>
          <w:rFonts w:eastAsiaTheme="minorEastAsia"/>
          <w:lang w:val="en-US" w:eastAsia="en-US"/>
        </w:rPr>
        <w:t xml:space="preserve"> </w:t>
      </w:r>
      <w:r w:rsidRPr="007A326D">
        <w:rPr>
          <w:rFonts w:eastAsiaTheme="minorEastAsia"/>
          <w:lang w:val="en-US" w:eastAsia="en-US"/>
        </w:rPr>
        <w:t xml:space="preserve">between baseline and week12. </w:t>
      </w:r>
      <w:r w:rsidR="00BC6FAE">
        <w:rPr>
          <w:rFonts w:eastAsiaTheme="minorEastAsia"/>
          <w:lang w:val="en-US" w:eastAsia="en-US"/>
        </w:rPr>
        <w:t xml:space="preserve">Walking times and HRQoL scores </w:t>
      </w:r>
      <w:r w:rsidRPr="007A326D">
        <w:rPr>
          <w:rFonts w:eastAsiaTheme="minorEastAsia"/>
          <w:lang w:val="en-US" w:eastAsia="en-US"/>
        </w:rPr>
        <w:t>significant</w:t>
      </w:r>
      <w:r w:rsidR="00BC6FAE">
        <w:rPr>
          <w:rFonts w:eastAsiaTheme="minorEastAsia"/>
          <w:lang w:val="en-US" w:eastAsia="en-US"/>
        </w:rPr>
        <w:t xml:space="preserve">ly reduced across </w:t>
      </w:r>
      <w:r w:rsidRPr="007A326D">
        <w:rPr>
          <w:rFonts w:eastAsiaTheme="minorEastAsia"/>
          <w:lang w:val="en-US" w:eastAsia="en-US"/>
        </w:rPr>
        <w:t>all-time points of the study</w:t>
      </w:r>
      <w:r w:rsidR="00DB075A">
        <w:rPr>
          <w:rFonts w:eastAsiaTheme="minorEastAsia"/>
          <w:lang w:val="en-US" w:eastAsia="en-US"/>
        </w:rPr>
        <w:t xml:space="preserve"> indicating improvement for all measures</w:t>
      </w:r>
      <w:r w:rsidRPr="007A326D">
        <w:rPr>
          <w:rFonts w:eastAsiaTheme="minorEastAsia"/>
          <w:lang w:val="en-US" w:eastAsia="en-US"/>
        </w:rPr>
        <w:t xml:space="preserve">. </w:t>
      </w:r>
      <w:r w:rsidRPr="007A326D">
        <w:rPr>
          <w:rFonts w:eastAsiaTheme="minorEastAsia"/>
          <w:b/>
          <w:lang w:val="en-US" w:eastAsia="en-US"/>
        </w:rPr>
        <w:t>Conclusion:</w:t>
      </w:r>
      <w:r w:rsidRPr="007A326D">
        <w:rPr>
          <w:rFonts w:eastAsiaTheme="minorEastAsia"/>
          <w:lang w:val="en-US" w:eastAsia="en-US"/>
        </w:rPr>
        <w:t xml:space="preserve"> C</w:t>
      </w:r>
      <w:r w:rsidR="00552246">
        <w:rPr>
          <w:rFonts w:eastAsiaTheme="minorEastAsia"/>
          <w:lang w:val="en-US" w:eastAsia="en-US"/>
        </w:rPr>
        <w:t>ombined kinetic-chain exercises are</w:t>
      </w:r>
      <w:r w:rsidRPr="007A326D">
        <w:rPr>
          <w:rFonts w:eastAsiaTheme="minorEastAsia"/>
          <w:lang w:val="en-US" w:eastAsia="en-US"/>
        </w:rPr>
        <w:t xml:space="preserve"> more effective than either OKCE or CKCE</w:t>
      </w:r>
      <w:r w:rsidR="00B73E2E">
        <w:rPr>
          <w:rFonts w:eastAsiaTheme="minorEastAsia"/>
          <w:lang w:val="en-US" w:eastAsia="en-US"/>
        </w:rPr>
        <w:t xml:space="preserve"> alone</w:t>
      </w:r>
      <w:bookmarkStart w:id="0" w:name="_GoBack"/>
      <w:bookmarkEnd w:id="0"/>
      <w:r w:rsidRPr="007A326D">
        <w:rPr>
          <w:rFonts w:eastAsiaTheme="minorEastAsia"/>
          <w:lang w:val="en-US" w:eastAsia="en-US"/>
        </w:rPr>
        <w:t xml:space="preserve"> for improvement of physical performance in knee OA. </w:t>
      </w:r>
    </w:p>
    <w:p w:rsidR="007A326D" w:rsidRDefault="007A326D" w:rsidP="007A326D">
      <w:pPr>
        <w:jc w:val="both"/>
        <w:rPr>
          <w:b/>
        </w:rPr>
      </w:pPr>
      <w:r>
        <w:rPr>
          <w:b/>
        </w:rPr>
        <w:t>Biography</w:t>
      </w:r>
    </w:p>
    <w:p w:rsidR="007A326D" w:rsidRDefault="007A326D" w:rsidP="007A326D">
      <w:pPr>
        <w:jc w:val="both"/>
        <w:rPr>
          <w:b/>
        </w:rPr>
      </w:pPr>
    </w:p>
    <w:p w:rsidR="007A326D" w:rsidRPr="00A41107" w:rsidRDefault="007A326D" w:rsidP="007A326D">
      <w:pPr>
        <w:jc w:val="both"/>
        <w:rPr>
          <w:rFonts w:eastAsia="MS PGothic"/>
          <w:b/>
          <w:color w:val="000000"/>
          <w:szCs w:val="32"/>
        </w:rPr>
      </w:pPr>
      <w:r>
        <w:t xml:space="preserve">Dr Olagbegi </w:t>
      </w:r>
      <w:r>
        <w:t>co</w:t>
      </w:r>
      <w:r>
        <w:t xml:space="preserve">mpleted his PhD at the age of 39 years from </w:t>
      </w:r>
      <w:r>
        <w:t xml:space="preserve">University </w:t>
      </w:r>
      <w:r>
        <w:t>of Ibadan, Nigeria</w:t>
      </w:r>
      <w:r>
        <w:t xml:space="preserve">. He </w:t>
      </w:r>
      <w:r>
        <w:t>currently runs postdoctoral studies at Rhodes University</w:t>
      </w:r>
      <w:r w:rsidR="00316962">
        <w:t>, Grahamstown,</w:t>
      </w:r>
      <w:r>
        <w:t xml:space="preserve"> South Africa. He has published more than 10</w:t>
      </w:r>
      <w:r>
        <w:t xml:space="preserve"> papers in reputed jour</w:t>
      </w:r>
      <w:r>
        <w:t>nals</w:t>
      </w:r>
      <w:r>
        <w:t>.</w:t>
      </w:r>
      <w:r>
        <w:tab/>
      </w:r>
      <w:r>
        <w:br/>
      </w:r>
    </w:p>
    <w:p w:rsidR="00316962" w:rsidRDefault="007A326D" w:rsidP="007A326D">
      <w:pPr>
        <w:autoSpaceDE w:val="0"/>
        <w:autoSpaceDN w:val="0"/>
        <w:adjustRightInd w:val="0"/>
        <w:rPr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>
        <w:rPr>
          <w:lang w:val="en-NZ"/>
        </w:rPr>
        <w:t>Dr Oladapo Michael Olagbegi</w:t>
      </w:r>
      <w:r w:rsidRPr="008A690F">
        <w:rPr>
          <w:lang w:val="en-NZ"/>
        </w:rPr>
        <w:br/>
        <w:t>Contact number:</w:t>
      </w:r>
      <w:r>
        <w:rPr>
          <w:lang w:val="en-NZ"/>
        </w:rPr>
        <w:t xml:space="preserve"> +27789006261</w:t>
      </w:r>
    </w:p>
    <w:p w:rsidR="007A326D" w:rsidRPr="008A690F" w:rsidRDefault="00316962" w:rsidP="007A326D">
      <w:pPr>
        <w:autoSpaceDE w:val="0"/>
        <w:autoSpaceDN w:val="0"/>
        <w:adjustRightInd w:val="0"/>
        <w:rPr>
          <w:b/>
          <w:lang w:val="en-NZ"/>
        </w:rPr>
      </w:pPr>
      <w:r>
        <w:rPr>
          <w:lang w:val="en-NZ"/>
        </w:rPr>
        <w:lastRenderedPageBreak/>
        <w:t>E-mail: dapoolagbegi2015@gmail.com</w:t>
      </w:r>
      <w:r w:rsidR="007A326D" w:rsidRPr="008A690F">
        <w:rPr>
          <w:lang w:val="en-NZ"/>
        </w:rPr>
        <w:br/>
        <w:t>Twitter account:</w:t>
      </w:r>
      <w:r w:rsidR="007A326D" w:rsidRPr="008A690F">
        <w:rPr>
          <w:lang w:val="en-NZ"/>
        </w:rPr>
        <w:br/>
        <w:t>Linked In account:</w:t>
      </w:r>
    </w:p>
    <w:p w:rsidR="00CC428D" w:rsidRDefault="007A326D" w:rsidP="007A326D">
      <w:r w:rsidRPr="008A690F">
        <w:rPr>
          <w:lang w:val="en-NZ"/>
        </w:rPr>
        <w:t>Session name/ number:</w:t>
      </w:r>
      <w:r w:rsidRPr="008A690F">
        <w:rPr>
          <w:lang w:val="en-NZ"/>
        </w:rPr>
        <w:br/>
        <w:t>Cate</w:t>
      </w:r>
      <w:r w:rsidR="00316962">
        <w:rPr>
          <w:lang w:val="en-NZ"/>
        </w:rPr>
        <w:t>gory: Oral presentation</w:t>
      </w:r>
    </w:p>
    <w:sectPr w:rsidR="00CC42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6D6DF6"/>
    <w:multiLevelType w:val="hybridMultilevel"/>
    <w:tmpl w:val="1FA09D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26D"/>
    <w:rsid w:val="001900A7"/>
    <w:rsid w:val="001978A5"/>
    <w:rsid w:val="001F3A9E"/>
    <w:rsid w:val="00316962"/>
    <w:rsid w:val="00552246"/>
    <w:rsid w:val="00626A0C"/>
    <w:rsid w:val="00794366"/>
    <w:rsid w:val="007A326D"/>
    <w:rsid w:val="007A3726"/>
    <w:rsid w:val="008E13E9"/>
    <w:rsid w:val="00992D54"/>
    <w:rsid w:val="00B73E2E"/>
    <w:rsid w:val="00BC6FAE"/>
    <w:rsid w:val="00CC428D"/>
    <w:rsid w:val="00D64D6B"/>
    <w:rsid w:val="00DB075A"/>
    <w:rsid w:val="00E60AFA"/>
    <w:rsid w:val="00E77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32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00A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E13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13E9"/>
    <w:rPr>
      <w:rFonts w:ascii="Tahoma" w:eastAsia="Times New Roman" w:hAnsi="Tahoma" w:cs="Tahoma"/>
      <w:sz w:val="16"/>
      <w:szCs w:val="16"/>
      <w:lang w:val="it-IT"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32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00A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E13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13E9"/>
    <w:rPr>
      <w:rFonts w:ascii="Tahoma" w:eastAsia="Times New Roman" w:hAnsi="Tahoma" w:cs="Tahoma"/>
      <w:sz w:val="16"/>
      <w:szCs w:val="16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842</TotalTime>
  <Pages>2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First Cash Pawn</dc:creator>
  <cp:lastModifiedBy>First Cash Pawn</cp:lastModifiedBy>
  <cp:revision>13</cp:revision>
  <dcterms:created xsi:type="dcterms:W3CDTF">2017-02-26T19:02:00Z</dcterms:created>
  <dcterms:modified xsi:type="dcterms:W3CDTF">2017-02-27T09:09:00Z</dcterms:modified>
</cp:coreProperties>
</file>