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9D434" w14:textId="0E4FC019" w:rsidR="00AE3E37" w:rsidRDefault="008B3C63" w:rsidP="008B3C63">
      <w:pPr>
        <w:pStyle w:val="Heading1"/>
        <w:spacing w:before="170"/>
        <w:ind w:left="0"/>
        <w:jc w:val="both"/>
      </w:pPr>
      <w:r>
        <w:rPr>
          <w:color w:val="337AB7"/>
        </w:rPr>
        <w:t>Accelerated antibacterial</w:t>
      </w:r>
      <w:r w:rsidR="00975864">
        <w:rPr>
          <w:color w:val="337AB7"/>
        </w:rPr>
        <w:t xml:space="preserve"> and wound healing activity in full thickness chronic </w:t>
      </w:r>
      <w:r>
        <w:rPr>
          <w:color w:val="337AB7"/>
        </w:rPr>
        <w:t>wounds</w:t>
      </w:r>
      <w:r w:rsidR="00975864">
        <w:rPr>
          <w:color w:val="337AB7"/>
        </w:rPr>
        <w:t xml:space="preserve"> by iodine loaded chitosan encapsulated graphene oxide nanocomposite</w:t>
      </w:r>
      <w:r w:rsidR="006F5552">
        <w:rPr>
          <w:color w:val="337AB7"/>
        </w:rPr>
        <w:t xml:space="preserve"> </w:t>
      </w:r>
    </w:p>
    <w:p w14:paraId="618EB325" w14:textId="70878ABD" w:rsidR="0078738A" w:rsidRDefault="0078738A" w:rsidP="005973B9">
      <w:pPr>
        <w:pStyle w:val="BodyText"/>
        <w:spacing w:before="73" w:line="198" w:lineRule="exact"/>
        <w:ind w:left="100" w:right="5987"/>
        <w:rPr>
          <w:rFonts w:ascii="Arial"/>
        </w:rPr>
      </w:pPr>
      <w:r>
        <w:rPr>
          <w:rFonts w:ascii="Arial"/>
        </w:rPr>
        <w:t xml:space="preserve">Dr </w:t>
      </w:r>
      <w:r w:rsidR="00C060CF">
        <w:rPr>
          <w:rFonts w:ascii="Arial"/>
        </w:rPr>
        <w:t>PRIYANKA CHHABRA</w:t>
      </w:r>
      <w:r w:rsidR="00EB5430">
        <w:rPr>
          <w:rFonts w:ascii="Arial"/>
        </w:rPr>
        <w:t xml:space="preserve"> </w:t>
      </w:r>
      <w:r w:rsidR="005973B9">
        <w:rPr>
          <w:rFonts w:ascii="Arial"/>
        </w:rPr>
        <w:t xml:space="preserve">PhD, </w:t>
      </w:r>
      <w:r w:rsidR="00974BC5">
        <w:rPr>
          <w:rFonts w:ascii="Arial"/>
        </w:rPr>
        <w:t>GALGOTIAS UNIVERSITY</w:t>
      </w:r>
      <w:r w:rsidR="00C060CF">
        <w:rPr>
          <w:rFonts w:ascii="Arial"/>
        </w:rPr>
        <w:t>,</w:t>
      </w:r>
      <w:r w:rsidR="009B0377">
        <w:rPr>
          <w:rFonts w:ascii="Arial"/>
        </w:rPr>
        <w:t xml:space="preserve"> </w:t>
      </w:r>
      <w:r w:rsidR="00C060CF">
        <w:rPr>
          <w:rFonts w:ascii="Arial"/>
        </w:rPr>
        <w:t>INDIA</w:t>
      </w:r>
      <w:r w:rsidR="005973B9">
        <w:rPr>
          <w:rFonts w:ascii="Arial"/>
        </w:rPr>
        <w:t xml:space="preserve"> </w:t>
      </w:r>
    </w:p>
    <w:p w14:paraId="2A557395" w14:textId="50A51CE0" w:rsidR="00F0392A" w:rsidRDefault="00F0392A" w:rsidP="005973B9">
      <w:pPr>
        <w:pStyle w:val="BodyText"/>
        <w:spacing w:before="73" w:line="198" w:lineRule="exact"/>
        <w:ind w:left="100" w:right="5987"/>
        <w:rPr>
          <w:rFonts w:ascii="Arial"/>
        </w:rPr>
      </w:pPr>
      <w:proofErr w:type="spellStart"/>
      <w:proofErr w:type="gramStart"/>
      <w:r>
        <w:rPr>
          <w:rFonts w:ascii="Arial"/>
        </w:rPr>
        <w:t>Dr.AMIT</w:t>
      </w:r>
      <w:proofErr w:type="spellEnd"/>
      <w:proofErr w:type="gramEnd"/>
      <w:r>
        <w:rPr>
          <w:rFonts w:ascii="Arial"/>
        </w:rPr>
        <w:t xml:space="preserve"> TYAGI PHD,INMAS,DRDO,INDIA</w:t>
      </w:r>
    </w:p>
    <w:p w14:paraId="3A7B6DA1" w14:textId="7A9430F2" w:rsidR="005973B9" w:rsidRDefault="005973B9" w:rsidP="005973B9">
      <w:pPr>
        <w:pStyle w:val="BodyText"/>
        <w:spacing w:before="73" w:line="198" w:lineRule="exact"/>
        <w:ind w:left="100" w:right="5987"/>
        <w:rPr>
          <w:rFonts w:ascii="Arial"/>
        </w:rPr>
      </w:pPr>
    </w:p>
    <w:p w14:paraId="2C299580" w14:textId="7278D59C" w:rsidR="00AE3E37" w:rsidRDefault="00AE3E37">
      <w:pPr>
        <w:pStyle w:val="BodyText"/>
        <w:rPr>
          <w:rFonts w:ascii="Arial"/>
          <w:sz w:val="20"/>
        </w:rPr>
      </w:pPr>
    </w:p>
    <w:p w14:paraId="52592B70" w14:textId="1DF382B8" w:rsidR="00AE3E37" w:rsidRDefault="00AE3E37">
      <w:pPr>
        <w:pStyle w:val="BodyText"/>
        <w:spacing w:before="3"/>
        <w:rPr>
          <w:rFonts w:ascii="Arial"/>
          <w:sz w:val="21"/>
        </w:rPr>
      </w:pPr>
    </w:p>
    <w:p w14:paraId="41E43CA8"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6BF7D21E" w14:textId="701332D9" w:rsidR="00AE3E37" w:rsidRDefault="00A9710C" w:rsidP="00EB5430">
      <w:pPr>
        <w:pStyle w:val="Heading3"/>
        <w:spacing w:before="147"/>
        <w:ind w:left="0"/>
        <w:jc w:val="both"/>
      </w:pPr>
      <w:r>
        <w:rPr>
          <w:color w:val="BF5A14"/>
        </w:rPr>
        <w:t>Abstract</w:t>
      </w:r>
      <w:r w:rsidR="00404E5B">
        <w:rPr>
          <w:color w:val="BF5A14"/>
        </w:rPr>
        <w:t xml:space="preserve"> (</w:t>
      </w:r>
      <w:r w:rsidR="00E73B4E">
        <w:rPr>
          <w:color w:val="BF5A14"/>
        </w:rPr>
        <w:t>300-word</w:t>
      </w:r>
      <w:r w:rsidR="00404E5B">
        <w:rPr>
          <w:color w:val="BF5A14"/>
        </w:rPr>
        <w:t xml:space="preserve"> limit)</w:t>
      </w:r>
    </w:p>
    <w:p w14:paraId="06EF3F94" w14:textId="708BD350" w:rsidR="003A4625" w:rsidRPr="003A4625" w:rsidRDefault="003A4625" w:rsidP="003A4625">
      <w:pPr>
        <w:spacing w:line="360" w:lineRule="auto"/>
        <w:jc w:val="both"/>
        <w:rPr>
          <w:rFonts w:cs="Times New Roman"/>
          <w:sz w:val="18"/>
          <w:szCs w:val="18"/>
        </w:rPr>
      </w:pPr>
      <w:r w:rsidRPr="003A4625">
        <w:rPr>
          <w:rFonts w:cs="Times New Roman"/>
          <w:sz w:val="18"/>
          <w:szCs w:val="18"/>
        </w:rPr>
        <w:t>Nanotechnology has emerged as a novel innovation of the century in different areas of science. The development of different types of nanocarriers offers novel approaches to delivering active drug at the site of injury in a sustained and effective manner which could significantly enhance the wound healing potential of chronic wounds. Given that, the goal of the present study is to develop nanocomposite based on chitosan, graphene oxide, and iodine as an antimicrobial agent for rapid wound healing. The prepared Iodine loaded chitosan encapsulated graphene nanocomposites (I-CH-G) were characterized using different techniques, such as SEM, FTIR, AFM, particle size analysis and </w:t>
      </w:r>
      <w:hyperlink r:id="rId13" w:tgtFrame="_blank" w:history="1">
        <w:r w:rsidRPr="003A4625">
          <w:rPr>
            <w:rStyle w:val="Hyperlink"/>
            <w:rFonts w:cs="Times New Roman"/>
            <w:color w:val="auto"/>
            <w:sz w:val="18"/>
            <w:szCs w:val="18"/>
            <w:u w:val="none"/>
          </w:rPr>
          <w:t>zeta potential</w:t>
        </w:r>
      </w:hyperlink>
      <w:r w:rsidRPr="003A4625">
        <w:rPr>
          <w:rFonts w:cs="Times New Roman"/>
          <w:sz w:val="18"/>
          <w:szCs w:val="18"/>
        </w:rPr>
        <w:t> measurement. The average diameter of I-CH-G nanocomposite was found to be</w:t>
      </w:r>
      <w:r w:rsidR="008B7E25">
        <w:rPr>
          <w:rFonts w:cs="Times New Roman"/>
          <w:sz w:val="18"/>
          <w:szCs w:val="18"/>
        </w:rPr>
        <w:t xml:space="preserve"> 370±1.2 </w:t>
      </w:r>
      <w:r w:rsidRPr="003A4625">
        <w:rPr>
          <w:rFonts w:cs="Times New Roman"/>
          <w:sz w:val="18"/>
          <w:szCs w:val="18"/>
        </w:rPr>
        <w:t>nm and showed sustained release behavior. The optimized I-CH-G nanocomposite was incorporated into Carbopol gel and evaluated for drug content, pH, in vitro release, texture analysis, and viscosity. In addition to that, they were also evaluated for their antimicrobial activity against </w:t>
      </w:r>
      <w:r w:rsidRPr="008B7E25">
        <w:rPr>
          <w:rStyle w:val="Emphasis"/>
          <w:rFonts w:cs="Times New Roman"/>
          <w:color w:val="0E101A"/>
          <w:sz w:val="18"/>
          <w:szCs w:val="18"/>
        </w:rPr>
        <w:t>Staphylococcus aureus, </w:t>
      </w:r>
      <w:hyperlink r:id="rId14" w:tgtFrame="_blank" w:history="1">
        <w:r w:rsidRPr="008B7E25">
          <w:rPr>
            <w:rStyle w:val="Emphasis"/>
            <w:rFonts w:cs="Times New Roman"/>
            <w:color w:val="0E101A"/>
            <w:sz w:val="18"/>
            <w:szCs w:val="18"/>
          </w:rPr>
          <w:t>Pseudomonas aeruginosa</w:t>
        </w:r>
      </w:hyperlink>
      <w:r w:rsidRPr="008B7E25">
        <w:rPr>
          <w:rFonts w:cs="Times New Roman"/>
          <w:sz w:val="18"/>
          <w:szCs w:val="18"/>
        </w:rPr>
        <w:t> and </w:t>
      </w:r>
      <w:r w:rsidRPr="008B7E25">
        <w:rPr>
          <w:rStyle w:val="Emphasis"/>
          <w:rFonts w:cs="Times New Roman"/>
          <w:color w:val="0E101A"/>
          <w:sz w:val="18"/>
          <w:szCs w:val="18"/>
        </w:rPr>
        <w:t>Escherichia coli</w:t>
      </w:r>
      <w:r w:rsidRPr="008B7E25">
        <w:rPr>
          <w:rFonts w:cs="Times New Roman"/>
          <w:sz w:val="18"/>
          <w:szCs w:val="18"/>
        </w:rPr>
        <w:t xml:space="preserve">. </w:t>
      </w:r>
      <w:r w:rsidRPr="003A4625">
        <w:rPr>
          <w:rFonts w:cs="Times New Roman"/>
          <w:sz w:val="18"/>
          <w:szCs w:val="18"/>
        </w:rPr>
        <w:t>Further, these nanoparticles were evaluated </w:t>
      </w:r>
      <w:r w:rsidRPr="003A4625">
        <w:rPr>
          <w:rStyle w:val="Emphasis"/>
          <w:rFonts w:cs="Times New Roman"/>
          <w:color w:val="0E101A"/>
          <w:sz w:val="18"/>
          <w:szCs w:val="18"/>
        </w:rPr>
        <w:t>in- vivo</w:t>
      </w:r>
      <w:r w:rsidRPr="003A4625">
        <w:rPr>
          <w:rFonts w:cs="Times New Roman"/>
          <w:sz w:val="18"/>
          <w:szCs w:val="18"/>
        </w:rPr>
        <w:t xml:space="preserve"> for wound healing efficacy in Sprague Dawley rats. Histopathological evaluations demonstrated that I-CH-G-NPOs showed significantly enhanced wound contraction, enhanced cell adhesion, epithelial migration, and high hydroxyproline content leading to faster and more efficient collagen synthesis as compared to plain </w:t>
      </w:r>
      <w:proofErr w:type="spellStart"/>
      <w:r w:rsidRPr="003A4625">
        <w:rPr>
          <w:rFonts w:cs="Times New Roman"/>
          <w:sz w:val="18"/>
          <w:szCs w:val="18"/>
        </w:rPr>
        <w:t>carbopol</w:t>
      </w:r>
      <w:proofErr w:type="spellEnd"/>
      <w:r w:rsidRPr="003A4625">
        <w:rPr>
          <w:rFonts w:cs="Times New Roman"/>
          <w:sz w:val="18"/>
          <w:szCs w:val="18"/>
        </w:rPr>
        <w:t>, plain Iodine and controls. Hence the topical administration of fabricated I-CH-G-Nanocomposites appears to be an interesting and suitable strategy for the treatment of chronic wounds.</w:t>
      </w:r>
    </w:p>
    <w:p w14:paraId="2366C5F7" w14:textId="77777777" w:rsidR="003A4625" w:rsidRPr="003A4625" w:rsidRDefault="003A4625" w:rsidP="003A4625">
      <w:pPr>
        <w:spacing w:line="360" w:lineRule="auto"/>
        <w:jc w:val="both"/>
        <w:rPr>
          <w:rFonts w:cs="Times New Roman"/>
          <w:sz w:val="18"/>
          <w:szCs w:val="18"/>
        </w:rPr>
      </w:pPr>
      <w:r w:rsidRPr="003A4625">
        <w:rPr>
          <w:rFonts w:cs="Times New Roman"/>
          <w:b/>
          <w:bCs/>
          <w:sz w:val="18"/>
          <w:szCs w:val="18"/>
        </w:rPr>
        <w:t>Keywords</w:t>
      </w:r>
      <w:r w:rsidRPr="003A4625">
        <w:rPr>
          <w:rFonts w:cs="Times New Roman"/>
          <w:sz w:val="18"/>
          <w:szCs w:val="18"/>
        </w:rPr>
        <w:t>: Nanocomposite, Iodine, chitosan, graphene, antimicrobial activity, Wound healing.</w:t>
      </w:r>
    </w:p>
    <w:p w14:paraId="72B89E0E" w14:textId="3F36A23E" w:rsidR="00AE3E37" w:rsidRDefault="00A9710C">
      <w:pPr>
        <w:pStyle w:val="Heading3"/>
        <w:spacing w:before="74"/>
        <w:rPr>
          <w:color w:val="BF5A14"/>
        </w:rPr>
      </w:pPr>
      <w:r w:rsidRPr="003A4625">
        <w:rPr>
          <w:rFonts w:ascii="Tw Cen MT" w:hAnsi="Tw Cen MT"/>
          <w:b w:val="0"/>
          <w:sz w:val="18"/>
          <w:szCs w:val="18"/>
        </w:rPr>
        <w:br w:type="column"/>
      </w:r>
      <w:r>
        <w:rPr>
          <w:color w:val="BF5A14"/>
        </w:rPr>
        <w:t>Image</w:t>
      </w:r>
    </w:p>
    <w:p w14:paraId="2DFAF9DE" w14:textId="747AED51" w:rsidR="006F5552" w:rsidRDefault="00C40BDB">
      <w:pPr>
        <w:pStyle w:val="Heading3"/>
        <w:spacing w:before="74"/>
      </w:pPr>
      <w:r>
        <w:rPr>
          <w:b w:val="0"/>
          <w:noProof/>
          <w:sz w:val="16"/>
        </w:rPr>
        <mc:AlternateContent>
          <mc:Choice Requires="wps">
            <w:drawing>
              <wp:anchor distT="0" distB="0" distL="114300" distR="114300" simplePos="0" relativeHeight="251659776" behindDoc="0" locked="0" layoutInCell="1" allowOverlap="1" wp14:anchorId="399E29E0" wp14:editId="1533B4B5">
                <wp:simplePos x="0" y="0"/>
                <wp:positionH relativeFrom="column">
                  <wp:posOffset>30480</wp:posOffset>
                </wp:positionH>
                <wp:positionV relativeFrom="paragraph">
                  <wp:posOffset>1593850</wp:posOffset>
                </wp:positionV>
                <wp:extent cx="3492500" cy="323850"/>
                <wp:effectExtent l="0" t="0" r="12700" b="19050"/>
                <wp:wrapNone/>
                <wp:docPr id="3" name="Text Box 3"/>
                <wp:cNvGraphicFramePr/>
                <a:graphic xmlns:a="http://schemas.openxmlformats.org/drawingml/2006/main">
                  <a:graphicData uri="http://schemas.microsoft.com/office/word/2010/wordprocessingShape">
                    <wps:wsp>
                      <wps:cNvSpPr txBox="1"/>
                      <wps:spPr>
                        <a:xfrm>
                          <a:off x="0" y="0"/>
                          <a:ext cx="3492500" cy="323850"/>
                        </a:xfrm>
                        <a:prstGeom prst="rect">
                          <a:avLst/>
                        </a:prstGeom>
                        <a:solidFill>
                          <a:schemeClr val="lt1"/>
                        </a:solidFill>
                        <a:ln w="6350">
                          <a:solidFill>
                            <a:prstClr val="black"/>
                          </a:solidFill>
                        </a:ln>
                      </wps:spPr>
                      <wps:txbx>
                        <w:txbxContent>
                          <w:p w14:paraId="22ED4178" w14:textId="157DE0AC" w:rsidR="006F5552" w:rsidRPr="006F5552" w:rsidRDefault="006F5552">
                            <w:pPr>
                              <w:rPr>
                                <w:sz w:val="18"/>
                                <w:szCs w:val="18"/>
                                <w:lang w:val="en-IN"/>
                              </w:rPr>
                            </w:pPr>
                            <w:r w:rsidRPr="006F5552">
                              <w:rPr>
                                <w:sz w:val="18"/>
                                <w:szCs w:val="18"/>
                                <w:lang w:val="en-IN"/>
                              </w:rPr>
                              <w:t>Figure1:  Formation of iodine loaded chitosan encapsulated graphene oxide nanocomposite</w:t>
                            </w:r>
                            <w:r w:rsidRPr="006F5552">
                              <w:rPr>
                                <w:rFonts w:cs="Times New Roman"/>
                                <w:sz w:val="18"/>
                                <w:szCs w:val="18"/>
                              </w:rPr>
                              <w:t xml:space="preserve"> </w:t>
                            </w:r>
                            <w:r w:rsidRPr="003A4625">
                              <w:rPr>
                                <w:rFonts w:cs="Times New Roman"/>
                                <w:sz w:val="18"/>
                                <w:szCs w:val="18"/>
                              </w:rPr>
                              <w:t>(I-CH-G)</w:t>
                            </w:r>
                            <w:r>
                              <w:rPr>
                                <w:rFonts w:cs="Times New Roman"/>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9E29E0" id="_x0000_t202" coordsize="21600,21600" o:spt="202" path="m,l,21600r21600,l21600,xe">
                <v:stroke joinstyle="miter"/>
                <v:path gradientshapeok="t" o:connecttype="rect"/>
              </v:shapetype>
              <v:shape id="Text Box 3" o:spid="_x0000_s1026" type="#_x0000_t202" style="position:absolute;left:0;text-align:left;margin-left:2.4pt;margin-top:125.5pt;width:275pt;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" fillcolor="white [3201]" strokeweight=".5pt">
                <v:textbox>
                  <w:txbxContent>
                    <w:p w14:paraId="22ED4178" w14:textId="157DE0AC" w:rsidR="006F5552" w:rsidRPr="006F5552" w:rsidRDefault="006F5552">
                      <w:pPr>
                        <w:rPr>
                          <w:sz w:val="18"/>
                          <w:szCs w:val="18"/>
                          <w:lang w:val="en-IN"/>
                        </w:rPr>
                      </w:pPr>
                      <w:r w:rsidRPr="006F5552">
                        <w:rPr>
                          <w:sz w:val="18"/>
                          <w:szCs w:val="18"/>
                          <w:lang w:val="en-IN"/>
                        </w:rPr>
                        <w:t>Figure1:  Formation of iodine loaded chitosan encapsulated graphene oxide nanocomposite</w:t>
                      </w:r>
                      <w:r w:rsidRPr="006F5552">
                        <w:rPr>
                          <w:rFonts w:cs="Times New Roman"/>
                          <w:sz w:val="18"/>
                          <w:szCs w:val="18"/>
                        </w:rPr>
                        <w:t xml:space="preserve"> </w:t>
                      </w:r>
                      <w:r w:rsidRPr="003A4625">
                        <w:rPr>
                          <w:rFonts w:cs="Times New Roman"/>
                          <w:sz w:val="18"/>
                          <w:szCs w:val="18"/>
                        </w:rPr>
                        <w:t>(I-CH-G)</w:t>
                      </w:r>
                      <w:r>
                        <w:rPr>
                          <w:rFonts w:cs="Times New Roman"/>
                          <w:sz w:val="18"/>
                          <w:szCs w:val="18"/>
                        </w:rPr>
                        <w:t>.</w:t>
                      </w:r>
                    </w:p>
                  </w:txbxContent>
                </v:textbox>
              </v:shape>
            </w:pict>
          </mc:Fallback>
        </mc:AlternateContent>
      </w:r>
      <w:r w:rsidR="006F5552">
        <w:rPr>
          <w:noProof/>
        </w:rPr>
        <w:drawing>
          <wp:inline distT="0" distB="0" distL="0" distR="0" wp14:anchorId="4B02E97C" wp14:editId="6AB707CD">
            <wp:extent cx="3460750" cy="165989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0750" cy="1659890"/>
                    </a:xfrm>
                    <a:prstGeom prst="rect">
                      <a:avLst/>
                    </a:prstGeom>
                    <a:noFill/>
                    <a:ln>
                      <a:noFill/>
                    </a:ln>
                  </pic:spPr>
                </pic:pic>
              </a:graphicData>
            </a:graphic>
          </wp:inline>
        </w:drawing>
      </w:r>
    </w:p>
    <w:p w14:paraId="2F946FEE" w14:textId="5F9F11CE" w:rsidR="00AE3E37" w:rsidRDefault="00AE3E37">
      <w:pPr>
        <w:pStyle w:val="BodyText"/>
        <w:spacing w:before="2"/>
        <w:rPr>
          <w:rFonts w:ascii="Arial"/>
          <w:b/>
          <w:sz w:val="16"/>
        </w:rPr>
      </w:pPr>
    </w:p>
    <w:p w14:paraId="36E31BF1" w14:textId="77777777" w:rsidR="006F5552" w:rsidRDefault="005973B9" w:rsidP="005973B9">
      <w:pPr>
        <w:spacing w:line="204" w:lineRule="exact"/>
        <w:rPr>
          <w:rFonts w:ascii="Arial"/>
          <w:b/>
          <w:color w:val="BF5A14"/>
          <w:sz w:val="20"/>
        </w:rPr>
      </w:pPr>
      <w:r>
        <w:rPr>
          <w:rFonts w:ascii="Arial"/>
          <w:b/>
          <w:color w:val="BF5A14"/>
          <w:sz w:val="20"/>
        </w:rPr>
        <w:br/>
      </w:r>
    </w:p>
    <w:p w14:paraId="6C96C637" w14:textId="46AB5B87" w:rsidR="005973B9" w:rsidRDefault="005973B9" w:rsidP="005973B9">
      <w:pPr>
        <w:spacing w:line="204" w:lineRule="exact"/>
        <w:rPr>
          <w:rFonts w:ascii="Arial"/>
          <w:b/>
          <w:sz w:val="20"/>
        </w:rPr>
      </w:pPr>
      <w:r>
        <w:rPr>
          <w:rFonts w:ascii="Arial"/>
          <w:b/>
          <w:color w:val="BF5A14"/>
          <w:sz w:val="20"/>
        </w:rPr>
        <w:t>Recent Publications (minimum 5)</w:t>
      </w:r>
    </w:p>
    <w:p w14:paraId="339B553F" w14:textId="77777777" w:rsidR="009B0377" w:rsidRPr="00F0392A" w:rsidRDefault="009B0377" w:rsidP="009B0377">
      <w:pPr>
        <w:pStyle w:val="NormalWeb"/>
        <w:numPr>
          <w:ilvl w:val="0"/>
          <w:numId w:val="4"/>
        </w:numPr>
        <w:spacing w:before="0" w:beforeAutospacing="0" w:after="240" w:afterAutospacing="0"/>
        <w:ind w:left="540" w:right="140"/>
        <w:jc w:val="both"/>
        <w:textAlignment w:val="baseline"/>
        <w:rPr>
          <w:rFonts w:ascii="Tw Cen MT" w:hAnsi="Tw Cen MT"/>
          <w:color w:val="000000"/>
          <w:sz w:val="16"/>
          <w:szCs w:val="16"/>
        </w:rPr>
      </w:pPr>
      <w:r w:rsidRPr="00F0392A">
        <w:rPr>
          <w:rFonts w:ascii="Tw Cen MT" w:hAnsi="Tw Cen MT"/>
          <w:color w:val="000000"/>
          <w:sz w:val="16"/>
          <w:szCs w:val="16"/>
        </w:rPr>
        <w:t xml:space="preserve">Meenakshi Choudhary, </w:t>
      </w:r>
      <w:r w:rsidRPr="00F0392A">
        <w:rPr>
          <w:rFonts w:ascii="Tw Cen MT" w:hAnsi="Tw Cen MT"/>
          <w:b/>
          <w:bCs/>
          <w:color w:val="000000"/>
          <w:sz w:val="16"/>
          <w:szCs w:val="16"/>
        </w:rPr>
        <w:t>Priyanka Chhabra,</w:t>
      </w:r>
      <w:r w:rsidRPr="00F0392A">
        <w:rPr>
          <w:rFonts w:ascii="Tw Cen MT" w:hAnsi="Tw Cen MT"/>
          <w:color w:val="000000"/>
          <w:sz w:val="16"/>
          <w:szCs w:val="16"/>
        </w:rPr>
        <w:t xml:space="preserve"> Amit Tyagi, </w:t>
      </w:r>
      <w:hyperlink r:id="rId16" w:anchor="!" w:history="1">
        <w:r w:rsidRPr="00F0392A">
          <w:rPr>
            <w:rStyle w:val="Hyperlink"/>
            <w:rFonts w:ascii="Tw Cen MT" w:hAnsi="Tw Cen MT"/>
            <w:color w:val="000000"/>
            <w:sz w:val="16"/>
            <w:szCs w:val="16"/>
            <w:u w:val="none"/>
          </w:rPr>
          <w:t>Harpal Singh</w:t>
        </w:r>
      </w:hyperlink>
      <w:r w:rsidRPr="00F0392A">
        <w:rPr>
          <w:rFonts w:ascii="Tw Cen MT" w:hAnsi="Tw Cen MT"/>
          <w:color w:val="000000"/>
          <w:sz w:val="16"/>
          <w:szCs w:val="16"/>
        </w:rPr>
        <w:t xml:space="preserve">. Scar free healing of full thickness diabetic wounds: A unique combination of silver nanoparticles as antimicrobial agent, calcium alginate nanoparticles as </w:t>
      </w:r>
      <w:proofErr w:type="spellStart"/>
      <w:r w:rsidRPr="00F0392A">
        <w:rPr>
          <w:rFonts w:ascii="Tw Cen MT" w:hAnsi="Tw Cen MT"/>
          <w:color w:val="000000"/>
          <w:sz w:val="16"/>
          <w:szCs w:val="16"/>
        </w:rPr>
        <w:t>hemostatic</w:t>
      </w:r>
      <w:proofErr w:type="spellEnd"/>
      <w:r w:rsidRPr="00F0392A">
        <w:rPr>
          <w:rFonts w:ascii="Tw Cen MT" w:hAnsi="Tw Cen MT"/>
          <w:color w:val="000000"/>
          <w:sz w:val="16"/>
          <w:szCs w:val="16"/>
        </w:rPr>
        <w:t xml:space="preserve"> agent, fresh blood as nutrient/growth factor supplier and chitosan as base matrix. International journals of Biological Macromolecules. </w:t>
      </w:r>
      <w:hyperlink r:id="rId17" w:history="1">
        <w:r w:rsidRPr="00F0392A">
          <w:rPr>
            <w:rStyle w:val="Hyperlink"/>
            <w:rFonts w:ascii="Tw Cen MT" w:hAnsi="Tw Cen MT"/>
            <w:color w:val="000000"/>
            <w:sz w:val="16"/>
            <w:szCs w:val="16"/>
            <w:u w:val="none"/>
          </w:rPr>
          <w:t>Volume 178</w:t>
        </w:r>
      </w:hyperlink>
      <w:r w:rsidRPr="00F0392A">
        <w:rPr>
          <w:rFonts w:ascii="Tw Cen MT" w:hAnsi="Tw Cen MT"/>
          <w:color w:val="000000"/>
          <w:sz w:val="16"/>
          <w:szCs w:val="16"/>
        </w:rPr>
        <w:t>, 1 May 2021, Pages 41-52</w:t>
      </w:r>
    </w:p>
    <w:p w14:paraId="69221266" w14:textId="77777777" w:rsidR="009B0377" w:rsidRPr="00F0392A" w:rsidRDefault="009B0377" w:rsidP="009B0377">
      <w:pPr>
        <w:pStyle w:val="NormalWeb"/>
        <w:numPr>
          <w:ilvl w:val="0"/>
          <w:numId w:val="4"/>
        </w:numPr>
        <w:spacing w:before="0" w:beforeAutospacing="0" w:after="240" w:afterAutospacing="0"/>
        <w:ind w:left="540" w:right="140"/>
        <w:jc w:val="both"/>
        <w:textAlignment w:val="baseline"/>
        <w:rPr>
          <w:rFonts w:ascii="Tw Cen MT" w:hAnsi="Tw Cen MT"/>
          <w:color w:val="000000"/>
          <w:sz w:val="16"/>
          <w:szCs w:val="16"/>
        </w:rPr>
      </w:pPr>
      <w:r w:rsidRPr="00F0392A">
        <w:rPr>
          <w:rFonts w:ascii="Tw Cen MT" w:hAnsi="Tw Cen MT"/>
          <w:b/>
          <w:bCs/>
          <w:color w:val="000000"/>
          <w:sz w:val="16"/>
          <w:szCs w:val="16"/>
        </w:rPr>
        <w:t>Chhabra P</w:t>
      </w:r>
      <w:r w:rsidRPr="00F0392A">
        <w:rPr>
          <w:rFonts w:ascii="Tw Cen MT" w:hAnsi="Tw Cen MT"/>
          <w:color w:val="000000"/>
          <w:sz w:val="16"/>
          <w:szCs w:val="16"/>
        </w:rPr>
        <w:t xml:space="preserve">, Chauhan G, Kumar A. Augmented healing of full thickness chronic excision wound by </w:t>
      </w:r>
      <w:proofErr w:type="spellStart"/>
      <w:r w:rsidRPr="00F0392A">
        <w:rPr>
          <w:rFonts w:ascii="Tw Cen MT" w:hAnsi="Tw Cen MT"/>
          <w:color w:val="000000"/>
          <w:sz w:val="16"/>
          <w:szCs w:val="16"/>
        </w:rPr>
        <w:t>rosmarinic</w:t>
      </w:r>
      <w:proofErr w:type="spellEnd"/>
      <w:r w:rsidRPr="00F0392A">
        <w:rPr>
          <w:rFonts w:ascii="Tw Cen MT" w:hAnsi="Tw Cen MT"/>
          <w:color w:val="000000"/>
          <w:sz w:val="16"/>
          <w:szCs w:val="16"/>
        </w:rPr>
        <w:t xml:space="preserve"> acid loaded chitosan encapsulated graphene </w:t>
      </w:r>
      <w:proofErr w:type="spellStart"/>
      <w:r w:rsidRPr="00F0392A">
        <w:rPr>
          <w:rFonts w:ascii="Tw Cen MT" w:hAnsi="Tw Cen MT"/>
          <w:color w:val="000000"/>
          <w:sz w:val="16"/>
          <w:szCs w:val="16"/>
        </w:rPr>
        <w:t>nanopockets</w:t>
      </w:r>
      <w:proofErr w:type="spellEnd"/>
      <w:r w:rsidRPr="00F0392A">
        <w:rPr>
          <w:rFonts w:ascii="Tw Cen MT" w:hAnsi="Tw Cen MT"/>
          <w:color w:val="000000"/>
          <w:sz w:val="16"/>
          <w:szCs w:val="16"/>
        </w:rPr>
        <w:t>. Drug Development and Industrial Pharmacy. 2020 Jun 2;46(6):878-88.</w:t>
      </w:r>
    </w:p>
    <w:p w14:paraId="3B80EDB1" w14:textId="09E7765C" w:rsidR="009B0377" w:rsidRPr="00F0392A" w:rsidRDefault="009B0377" w:rsidP="009B0377">
      <w:pPr>
        <w:pStyle w:val="NormalWeb"/>
        <w:numPr>
          <w:ilvl w:val="0"/>
          <w:numId w:val="4"/>
        </w:numPr>
        <w:spacing w:before="0" w:beforeAutospacing="0" w:after="240" w:afterAutospacing="0"/>
        <w:ind w:left="540" w:right="140"/>
        <w:jc w:val="both"/>
        <w:textAlignment w:val="baseline"/>
        <w:rPr>
          <w:rFonts w:ascii="Tw Cen MT" w:hAnsi="Tw Cen MT"/>
          <w:color w:val="000000"/>
          <w:sz w:val="16"/>
          <w:szCs w:val="16"/>
        </w:rPr>
      </w:pPr>
      <w:r w:rsidRPr="00F0392A">
        <w:rPr>
          <w:rFonts w:ascii="Tw Cen MT" w:hAnsi="Tw Cen MT"/>
          <w:color w:val="000000"/>
          <w:sz w:val="16"/>
          <w:szCs w:val="16"/>
        </w:rPr>
        <w:t xml:space="preserve">Akash Kumar, </w:t>
      </w:r>
      <w:r w:rsidRPr="00F0392A">
        <w:rPr>
          <w:rFonts w:ascii="Tw Cen MT" w:hAnsi="Tw Cen MT"/>
          <w:b/>
          <w:bCs/>
          <w:color w:val="000000"/>
          <w:sz w:val="16"/>
          <w:szCs w:val="16"/>
        </w:rPr>
        <w:t>Priyanka Chhabra</w:t>
      </w:r>
      <w:r w:rsidRPr="00F0392A">
        <w:rPr>
          <w:rFonts w:ascii="Tw Cen MT" w:hAnsi="Tw Cen MT"/>
          <w:color w:val="000000"/>
          <w:sz w:val="16"/>
          <w:szCs w:val="16"/>
        </w:rPr>
        <w:t>. Challenges Faced by a Forensic expert in Internet of Things Forensics: A Review International Journal of All Research Education and Scientific Methods (IJARESM), ISSN: 2455-6211 Volume 8, Issue 10, October-2020, </w:t>
      </w:r>
    </w:p>
    <w:p w14:paraId="0FB4531C" w14:textId="3F5AB8A5" w:rsidR="009B0377" w:rsidRPr="00F0392A" w:rsidRDefault="009B0377" w:rsidP="009B0377">
      <w:pPr>
        <w:pStyle w:val="NormalWeb"/>
        <w:numPr>
          <w:ilvl w:val="0"/>
          <w:numId w:val="4"/>
        </w:numPr>
        <w:spacing w:before="0" w:beforeAutospacing="0" w:after="240" w:afterAutospacing="0"/>
        <w:ind w:left="540" w:right="140"/>
        <w:jc w:val="both"/>
        <w:textAlignment w:val="baseline"/>
        <w:rPr>
          <w:rFonts w:asciiTheme="minorHAnsi" w:hAnsiTheme="minorHAnsi" w:cstheme="minorHAnsi"/>
          <w:color w:val="000000"/>
          <w:sz w:val="16"/>
          <w:szCs w:val="16"/>
        </w:rPr>
      </w:pPr>
      <w:r w:rsidRPr="00F0392A">
        <w:rPr>
          <w:rFonts w:asciiTheme="minorHAnsi" w:hAnsiTheme="minorHAnsi" w:cstheme="minorHAnsi"/>
          <w:b/>
          <w:bCs/>
          <w:color w:val="000000"/>
          <w:sz w:val="16"/>
          <w:szCs w:val="16"/>
        </w:rPr>
        <w:t>Chhabra, P</w:t>
      </w:r>
      <w:r w:rsidRPr="00F0392A">
        <w:rPr>
          <w:rFonts w:asciiTheme="minorHAnsi" w:hAnsiTheme="minorHAnsi" w:cstheme="minorHAnsi"/>
          <w:color w:val="000000"/>
          <w:sz w:val="16"/>
          <w:szCs w:val="16"/>
        </w:rPr>
        <w:t xml:space="preserve">., Tyagi, P., Bhatnagar, A., Mittal, G., &amp; Kumar, A. (2016). Optimization, characterization, and efficacy evaluation of 2% chitosan scaffold for tissue engineering and wound healing. Journal of Pharmacy &amp; </w:t>
      </w:r>
      <w:proofErr w:type="spellStart"/>
      <w:r w:rsidRPr="00F0392A">
        <w:rPr>
          <w:rFonts w:asciiTheme="minorHAnsi" w:hAnsiTheme="minorHAnsi" w:cstheme="minorHAnsi"/>
          <w:color w:val="000000"/>
          <w:sz w:val="16"/>
          <w:szCs w:val="16"/>
        </w:rPr>
        <w:t>Bioallied</w:t>
      </w:r>
      <w:proofErr w:type="spellEnd"/>
      <w:r w:rsidRPr="00F0392A">
        <w:rPr>
          <w:rFonts w:asciiTheme="minorHAnsi" w:hAnsiTheme="minorHAnsi" w:cstheme="minorHAnsi"/>
          <w:color w:val="000000"/>
          <w:sz w:val="16"/>
          <w:szCs w:val="16"/>
        </w:rPr>
        <w:t xml:space="preserve"> Sciences, 8(4), 300.</w:t>
      </w:r>
    </w:p>
    <w:p w14:paraId="7D8D81B2" w14:textId="1A409AD7" w:rsidR="009B0377" w:rsidRPr="00F0392A" w:rsidRDefault="009B0377" w:rsidP="009B0377">
      <w:pPr>
        <w:pStyle w:val="NormalWeb"/>
        <w:numPr>
          <w:ilvl w:val="0"/>
          <w:numId w:val="4"/>
        </w:numPr>
        <w:spacing w:before="0" w:beforeAutospacing="0" w:after="240" w:afterAutospacing="0"/>
        <w:ind w:left="540" w:right="140"/>
        <w:jc w:val="both"/>
        <w:textAlignment w:val="baseline"/>
        <w:rPr>
          <w:rFonts w:asciiTheme="minorHAnsi" w:hAnsiTheme="minorHAnsi" w:cstheme="minorHAnsi"/>
          <w:color w:val="000000"/>
          <w:sz w:val="16"/>
          <w:szCs w:val="16"/>
        </w:rPr>
      </w:pPr>
      <w:r w:rsidRPr="00F0392A">
        <w:rPr>
          <w:rFonts w:asciiTheme="minorHAnsi" w:hAnsiTheme="minorHAnsi" w:cstheme="minorHAnsi"/>
          <w:b/>
          <w:bCs/>
          <w:color w:val="000000"/>
          <w:sz w:val="16"/>
          <w:szCs w:val="16"/>
        </w:rPr>
        <w:t>Priyanka Chhabra</w:t>
      </w:r>
      <w:r w:rsidRPr="00F0392A">
        <w:rPr>
          <w:rFonts w:asciiTheme="minorHAnsi" w:hAnsiTheme="minorHAnsi" w:cstheme="minorHAnsi"/>
          <w:color w:val="000000"/>
          <w:sz w:val="16"/>
          <w:szCs w:val="16"/>
        </w:rPr>
        <w:t xml:space="preserve">, Lalita </w:t>
      </w:r>
      <w:proofErr w:type="spellStart"/>
      <w:r w:rsidRPr="00F0392A">
        <w:rPr>
          <w:rFonts w:asciiTheme="minorHAnsi" w:hAnsiTheme="minorHAnsi" w:cstheme="minorHAnsi"/>
          <w:color w:val="000000"/>
          <w:sz w:val="16"/>
          <w:szCs w:val="16"/>
        </w:rPr>
        <w:t>Mehra</w:t>
      </w:r>
      <w:proofErr w:type="spellEnd"/>
      <w:r w:rsidRPr="00F0392A">
        <w:rPr>
          <w:rFonts w:asciiTheme="minorHAnsi" w:hAnsiTheme="minorHAnsi" w:cstheme="minorHAnsi"/>
          <w:color w:val="000000"/>
          <w:sz w:val="16"/>
          <w:szCs w:val="16"/>
        </w:rPr>
        <w:t xml:space="preserve">, Gaurav </w:t>
      </w:r>
      <w:proofErr w:type="spellStart"/>
      <w:r w:rsidRPr="00F0392A">
        <w:rPr>
          <w:rFonts w:asciiTheme="minorHAnsi" w:hAnsiTheme="minorHAnsi" w:cstheme="minorHAnsi"/>
          <w:color w:val="000000"/>
          <w:sz w:val="16"/>
          <w:szCs w:val="16"/>
        </w:rPr>
        <w:t>mittal</w:t>
      </w:r>
      <w:proofErr w:type="spellEnd"/>
      <w:r w:rsidRPr="00F0392A">
        <w:rPr>
          <w:rFonts w:asciiTheme="minorHAnsi" w:hAnsiTheme="minorHAnsi" w:cstheme="minorHAnsi"/>
          <w:color w:val="000000"/>
          <w:sz w:val="16"/>
          <w:szCs w:val="16"/>
        </w:rPr>
        <w:t>, Amit Kumar. A comparative study on the efficacy of chitosan gel formulation and conventional silver sulfadiazine treatment in healing burn wound injury at molecular level. Asian Journal of pharmaceutics. July-Sep 2017.Vol 11 (3) ,489.</w:t>
      </w:r>
    </w:p>
    <w:p w14:paraId="3DC1DDA4" w14:textId="4E0EFA15" w:rsidR="00AE3E37" w:rsidRPr="007776E6" w:rsidRDefault="00AE3E37" w:rsidP="007776E6">
      <w:pPr>
        <w:pStyle w:val="BodyText"/>
        <w:spacing w:line="218" w:lineRule="exact"/>
        <w:rPr>
          <w:rFonts w:ascii="Calibri"/>
          <w:sz w:val="16"/>
          <w:szCs w:val="16"/>
        </w:rPr>
        <w:sectPr w:rsidR="00AE3E37" w:rsidRPr="007776E6">
          <w:type w:val="continuous"/>
          <w:pgSz w:w="11910" w:h="16840"/>
          <w:pgMar w:top="1740" w:right="600" w:bottom="840" w:left="620" w:header="720" w:footer="720" w:gutter="0"/>
          <w:cols w:num="2" w:space="720" w:equalWidth="0">
            <w:col w:w="5214" w:space="138"/>
            <w:col w:w="5338"/>
          </w:cols>
        </w:sectPr>
      </w:pPr>
    </w:p>
    <w:p w14:paraId="5160B97D" w14:textId="77777777" w:rsidR="00AE3E37" w:rsidRPr="00F0392A" w:rsidRDefault="00D62425">
      <w:pPr>
        <w:pStyle w:val="BodyText"/>
        <w:rPr>
          <w:rFonts w:ascii="Calibri"/>
          <w:b/>
          <w:sz w:val="16"/>
          <w:szCs w:val="16"/>
        </w:rPr>
      </w:pPr>
      <w:r w:rsidRPr="00F0392A">
        <w:rPr>
          <w:rFonts w:ascii="Calibri"/>
          <w:sz w:val="16"/>
          <w:szCs w:val="16"/>
        </w:rPr>
        <w:t xml:space="preserve">                 </w:t>
      </w:r>
      <w:r w:rsidRPr="00F0392A">
        <w:rPr>
          <w:rFonts w:ascii="Calibri"/>
          <w:b/>
          <w:sz w:val="16"/>
          <w:szCs w:val="16"/>
        </w:rPr>
        <w:t>Photograph</w:t>
      </w:r>
    </w:p>
    <w:p w14:paraId="06B8D33F" w14:textId="77777777" w:rsidR="00AE3E37" w:rsidRPr="00F0392A" w:rsidRDefault="00292ED9">
      <w:pPr>
        <w:pStyle w:val="BodyText"/>
        <w:spacing w:line="40" w:lineRule="exact"/>
        <w:ind w:left="2202"/>
        <w:rPr>
          <w:rFonts w:ascii="Calibri"/>
          <w:sz w:val="16"/>
          <w:szCs w:val="16"/>
        </w:rPr>
      </w:pPr>
      <w:r w:rsidRPr="00F0392A">
        <w:rPr>
          <w:rFonts w:ascii="Calibri"/>
          <w:noProof/>
          <w:sz w:val="16"/>
          <w:szCs w:val="16"/>
          <w:lang w:val="en-IN" w:eastAsia="en-IN"/>
        </w:rPr>
        <mc:AlternateContent>
          <mc:Choice Requires="wpg">
            <w:drawing>
              <wp:inline distT="0" distB="0" distL="0" distR="0" wp14:anchorId="7E4F22AE" wp14:editId="3CF261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7FE0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B8CBB66"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399BE16E" wp14:editId="2C24100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0FE3C00" w14:textId="72AC6990" w:rsidR="00AE3E37" w:rsidRPr="00A60138" w:rsidRDefault="00A9710C" w:rsidP="00A60138">
      <w:pPr>
        <w:ind w:left="213" w:right="231"/>
        <w:jc w:val="both"/>
        <w:rPr>
          <w:rFonts w:ascii="Arial" w:hAnsi="Arial" w:cs="Arial"/>
          <w:sz w:val="18"/>
          <w:szCs w:val="18"/>
        </w:rPr>
      </w:pPr>
      <w:r w:rsidRPr="00A60138">
        <w:rPr>
          <w:rFonts w:ascii="Arial" w:hAnsi="Arial" w:cs="Arial"/>
          <w:sz w:val="18"/>
          <w:szCs w:val="18"/>
        </w:rPr>
        <w:t>D</w:t>
      </w:r>
      <w:r w:rsidR="0078738A" w:rsidRPr="00A60138">
        <w:rPr>
          <w:rFonts w:ascii="Arial" w:hAnsi="Arial" w:cs="Arial"/>
          <w:sz w:val="18"/>
          <w:szCs w:val="18"/>
        </w:rPr>
        <w:t xml:space="preserve">r </w:t>
      </w:r>
      <w:r w:rsidR="0063415F" w:rsidRPr="00A60138">
        <w:rPr>
          <w:rFonts w:ascii="Arial" w:hAnsi="Arial" w:cs="Arial"/>
          <w:sz w:val="18"/>
          <w:szCs w:val="18"/>
        </w:rPr>
        <w:t xml:space="preserve">priyanka Chhabra </w:t>
      </w:r>
      <w:r w:rsidRPr="00A60138">
        <w:rPr>
          <w:rFonts w:ascii="Arial" w:hAnsi="Arial" w:cs="Arial"/>
          <w:sz w:val="18"/>
          <w:szCs w:val="18"/>
        </w:rPr>
        <w:t xml:space="preserve">has her expertise in </w:t>
      </w:r>
      <w:r w:rsidR="0063415F" w:rsidRPr="00A60138">
        <w:rPr>
          <w:rFonts w:ascii="Arial" w:hAnsi="Arial" w:cs="Arial"/>
          <w:sz w:val="18"/>
          <w:szCs w:val="18"/>
        </w:rPr>
        <w:t xml:space="preserve">development and </w:t>
      </w:r>
      <w:r w:rsidRPr="00A60138">
        <w:rPr>
          <w:rFonts w:ascii="Arial" w:hAnsi="Arial" w:cs="Arial"/>
          <w:sz w:val="18"/>
          <w:szCs w:val="18"/>
        </w:rPr>
        <w:t>evaluation</w:t>
      </w:r>
      <w:r w:rsidR="0063415F" w:rsidRPr="00A60138">
        <w:rPr>
          <w:rFonts w:ascii="Arial" w:hAnsi="Arial" w:cs="Arial"/>
          <w:sz w:val="18"/>
          <w:szCs w:val="18"/>
        </w:rPr>
        <w:t xml:space="preserve"> </w:t>
      </w:r>
      <w:r w:rsidR="00A60138" w:rsidRPr="00A60138">
        <w:rPr>
          <w:rFonts w:ascii="Arial" w:hAnsi="Arial" w:cs="Arial"/>
          <w:sz w:val="18"/>
          <w:szCs w:val="18"/>
        </w:rPr>
        <w:t>of formulations</w:t>
      </w:r>
      <w:r w:rsidR="001B7AA3" w:rsidRPr="00A60138">
        <w:rPr>
          <w:rFonts w:ascii="Arial" w:hAnsi="Arial" w:cs="Arial"/>
          <w:sz w:val="18"/>
          <w:szCs w:val="18"/>
        </w:rPr>
        <w:t xml:space="preserve"> for enhancing wound healing </w:t>
      </w:r>
      <w:r w:rsidR="00A60138" w:rsidRPr="00A60138">
        <w:rPr>
          <w:rFonts w:ascii="Arial" w:hAnsi="Arial" w:cs="Arial"/>
          <w:sz w:val="18"/>
          <w:szCs w:val="18"/>
        </w:rPr>
        <w:t>in improving</w:t>
      </w:r>
      <w:r w:rsidRPr="00A60138">
        <w:rPr>
          <w:rFonts w:ascii="Arial" w:hAnsi="Arial" w:cs="Arial"/>
          <w:sz w:val="18"/>
          <w:szCs w:val="18"/>
        </w:rPr>
        <w:t xml:space="preserve"> the health and wellbeing. </w:t>
      </w:r>
      <w:r w:rsidR="00E73B4E" w:rsidRPr="00A60138">
        <w:rPr>
          <w:rFonts w:ascii="Arial" w:hAnsi="Arial" w:cs="Arial"/>
          <w:sz w:val="18"/>
          <w:szCs w:val="18"/>
        </w:rPr>
        <w:t xml:space="preserve">She had </w:t>
      </w:r>
      <w:r w:rsidR="007776E6" w:rsidRPr="00A60138">
        <w:rPr>
          <w:rFonts w:ascii="Arial" w:hAnsi="Arial" w:cs="Arial"/>
          <w:sz w:val="18"/>
          <w:szCs w:val="18"/>
        </w:rPr>
        <w:t>developed</w:t>
      </w:r>
      <w:r w:rsidR="00E73B4E" w:rsidRPr="00A60138">
        <w:rPr>
          <w:rFonts w:ascii="Arial" w:hAnsi="Arial" w:cs="Arial"/>
          <w:sz w:val="18"/>
          <w:szCs w:val="18"/>
        </w:rPr>
        <w:t xml:space="preserve"> different </w:t>
      </w:r>
      <w:r w:rsidR="007776E6">
        <w:rPr>
          <w:rFonts w:ascii="Arial" w:hAnsi="Arial" w:cs="Arial"/>
          <w:sz w:val="18"/>
          <w:szCs w:val="18"/>
        </w:rPr>
        <w:t xml:space="preserve">like scaffolds, hydrogels and nanoparticles </w:t>
      </w:r>
      <w:r w:rsidR="00E73B4E" w:rsidRPr="00A60138">
        <w:rPr>
          <w:rFonts w:ascii="Arial" w:hAnsi="Arial" w:cs="Arial"/>
          <w:sz w:val="18"/>
          <w:szCs w:val="18"/>
        </w:rPr>
        <w:t xml:space="preserve">formulations for accelerating wound healing process in full thickness chronic wounds, burn wounds and </w:t>
      </w:r>
      <w:r w:rsidR="00A60138" w:rsidRPr="00A60138">
        <w:rPr>
          <w:rFonts w:ascii="Arial" w:hAnsi="Arial" w:cs="Arial"/>
          <w:sz w:val="18"/>
          <w:szCs w:val="18"/>
        </w:rPr>
        <w:t>diabetic wounds.</w:t>
      </w:r>
      <w:r w:rsidRPr="00A60138">
        <w:rPr>
          <w:rFonts w:ascii="Arial" w:hAnsi="Arial" w:cs="Arial"/>
          <w:sz w:val="18"/>
          <w:szCs w:val="18"/>
        </w:rPr>
        <w:t xml:space="preserve"> </w:t>
      </w:r>
      <w:r w:rsidR="00A60138" w:rsidRPr="00A60138">
        <w:rPr>
          <w:rFonts w:ascii="Arial" w:hAnsi="Arial" w:cs="Arial"/>
          <w:sz w:val="18"/>
          <w:szCs w:val="18"/>
        </w:rPr>
        <w:t xml:space="preserve">she is an Assistant professor in School of Basic and applied Science, </w:t>
      </w:r>
      <w:proofErr w:type="spellStart"/>
      <w:r w:rsidR="00A60138" w:rsidRPr="00A60138">
        <w:rPr>
          <w:rFonts w:ascii="Arial" w:hAnsi="Arial" w:cs="Arial"/>
          <w:sz w:val="18"/>
          <w:szCs w:val="18"/>
        </w:rPr>
        <w:t>Galgotias</w:t>
      </w:r>
      <w:proofErr w:type="spellEnd"/>
      <w:r w:rsidR="00A60138" w:rsidRPr="00A60138">
        <w:rPr>
          <w:rFonts w:ascii="Arial" w:hAnsi="Arial" w:cs="Arial"/>
          <w:sz w:val="18"/>
          <w:szCs w:val="18"/>
        </w:rPr>
        <w:t xml:space="preserve"> University</w:t>
      </w:r>
      <w:r w:rsidR="00A60138">
        <w:rPr>
          <w:rFonts w:ascii="Arial" w:hAnsi="Arial" w:cs="Arial"/>
          <w:sz w:val="18"/>
          <w:szCs w:val="18"/>
        </w:rPr>
        <w:t xml:space="preserve"> </w:t>
      </w:r>
      <w:r w:rsidR="00A60138" w:rsidRPr="00A60138">
        <w:rPr>
          <w:rFonts w:ascii="Arial" w:hAnsi="Arial" w:cs="Arial"/>
          <w:sz w:val="18"/>
          <w:szCs w:val="18"/>
        </w:rPr>
        <w:t xml:space="preserve">and serving as a mentor for an </w:t>
      </w:r>
      <w:r w:rsidR="007776E6" w:rsidRPr="00A60138">
        <w:rPr>
          <w:rFonts w:ascii="Arial" w:hAnsi="Arial" w:cs="Arial"/>
          <w:sz w:val="18"/>
          <w:szCs w:val="18"/>
        </w:rPr>
        <w:t>undergraduate and graduate studen</w:t>
      </w:r>
      <w:r w:rsidR="007776E6">
        <w:rPr>
          <w:rFonts w:ascii="Arial" w:hAnsi="Arial" w:cs="Arial"/>
          <w:sz w:val="18"/>
          <w:szCs w:val="18"/>
        </w:rPr>
        <w:t>t</w:t>
      </w:r>
      <w:r w:rsidR="00A60138">
        <w:rPr>
          <w:rFonts w:ascii="Arial" w:hAnsi="Arial" w:cs="Arial"/>
          <w:sz w:val="18"/>
          <w:szCs w:val="18"/>
        </w:rPr>
        <w:t>.</w:t>
      </w:r>
      <w:r w:rsidR="00A60138" w:rsidRPr="00A60138">
        <w:rPr>
          <w:rFonts w:ascii="Arial" w:hAnsi="Arial" w:cs="Arial"/>
          <w:sz w:val="18"/>
          <w:szCs w:val="18"/>
        </w:rPr>
        <w:t xml:space="preserve"> </w:t>
      </w:r>
    </w:p>
    <w:p w14:paraId="1450C743" w14:textId="2B4AB168" w:rsidR="00AE3E37" w:rsidRDefault="00A9710C">
      <w:pPr>
        <w:spacing w:before="62"/>
        <w:ind w:left="4217" w:right="4235"/>
        <w:jc w:val="center"/>
        <w:rPr>
          <w:rFonts w:ascii="Arial"/>
          <w:sz w:val="14"/>
        </w:rPr>
      </w:pPr>
      <w:r w:rsidRPr="00A60138">
        <w:rPr>
          <w:rFonts w:ascii="Arial" w:hAnsi="Arial" w:cs="Arial"/>
          <w:sz w:val="18"/>
          <w:szCs w:val="18"/>
        </w:rPr>
        <w:lastRenderedPageBreak/>
        <w:t>Emai</w:t>
      </w:r>
      <w:r w:rsidR="00A60138">
        <w:rPr>
          <w:rFonts w:ascii="Arial" w:hAnsi="Arial" w:cs="Arial"/>
          <w:sz w:val="18"/>
          <w:szCs w:val="18"/>
        </w:rPr>
        <w:t>l: pchhabara188@gmail.com</w:t>
      </w:r>
    </w:p>
    <w:p w14:paraId="79F9011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E87B8ED" wp14:editId="37CE5A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BCE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0ABF8EB" w14:textId="77777777" w:rsidR="00AE3E37" w:rsidRDefault="00AE3E37">
      <w:pPr>
        <w:pStyle w:val="BodyText"/>
        <w:rPr>
          <w:rFonts w:ascii="Arial"/>
          <w:sz w:val="20"/>
        </w:rPr>
      </w:pPr>
    </w:p>
    <w:p w14:paraId="40792B4F" w14:textId="77777777" w:rsidR="00AE3E37" w:rsidRDefault="00AE3E37">
      <w:pPr>
        <w:pStyle w:val="BodyText"/>
        <w:rPr>
          <w:rFonts w:ascii="Arial"/>
          <w:sz w:val="20"/>
        </w:rPr>
      </w:pPr>
    </w:p>
    <w:p w14:paraId="037F4AAC" w14:textId="77777777" w:rsidR="00AE3E37" w:rsidRDefault="00AE3E37">
      <w:pPr>
        <w:pStyle w:val="BodyText"/>
        <w:spacing w:before="7"/>
        <w:rPr>
          <w:rFonts w:ascii="Arial"/>
          <w:sz w:val="29"/>
        </w:rPr>
      </w:pPr>
    </w:p>
    <w:p w14:paraId="45605B36" w14:textId="77777777" w:rsidR="00AE3E37" w:rsidRPr="00B21A57" w:rsidRDefault="00A9710C">
      <w:pPr>
        <w:spacing w:before="39"/>
        <w:ind w:left="100"/>
        <w:rPr>
          <w:rFonts w:ascii="Minion Pro"/>
          <w:b/>
          <w:sz w:val="20"/>
        </w:rPr>
      </w:pPr>
      <w:r w:rsidRPr="00B21A57">
        <w:rPr>
          <w:rFonts w:ascii="Minion Pro"/>
          <w:b/>
          <w:sz w:val="20"/>
        </w:rPr>
        <w:t>Notes/Comments:</w:t>
      </w:r>
    </w:p>
    <w:p w14:paraId="1C97FF5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E2B3C1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59DBB" w14:textId="77777777" w:rsidR="005A56DE" w:rsidRDefault="005A56DE">
      <w:r>
        <w:separator/>
      </w:r>
    </w:p>
  </w:endnote>
  <w:endnote w:type="continuationSeparator" w:id="0">
    <w:p w14:paraId="3C93CCE7" w14:textId="77777777" w:rsidR="005A56DE" w:rsidRDefault="005A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DD679" w14:textId="77777777" w:rsidR="007776E6" w:rsidRDefault="00777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38D0" w14:textId="12BC7203" w:rsidR="00AE3E37" w:rsidRPr="007776E6" w:rsidRDefault="00292ED9">
    <w:pPr>
      <w:pStyle w:val="BodyText"/>
      <w:spacing w:line="14" w:lineRule="auto"/>
      <w:rPr>
        <w:color w:val="FF0000"/>
        <w:sz w:val="20"/>
      </w:rPr>
    </w:pPr>
    <w:r w:rsidRPr="007776E6">
      <w:rPr>
        <w:noProof/>
        <w:color w:val="FF0000"/>
        <w:lang w:val="en-IN" w:eastAsia="en-IN"/>
      </w:rPr>
      <mc:AlternateContent>
        <mc:Choice Requires="wps">
          <w:drawing>
            <wp:anchor distT="0" distB="0" distL="114300" distR="114300" simplePos="0" relativeHeight="503311952" behindDoc="1" locked="0" layoutInCell="1" allowOverlap="1" wp14:anchorId="655B57E4" wp14:editId="626EA9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BAE2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F3D80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B57E4" id="_x0000_t202" coordsize="21600,21600" o:spt="202" path="m,l,21600r21600,l21600,xe">
              <v:stroke joinstyle="miter"/>
              <v:path gradientshapeok="t" o:connecttype="rect"/>
            </v:shapetype>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071BAE2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F3D80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7776E6">
      <w:rPr>
        <w:noProof/>
        <w:color w:val="FF0000"/>
        <w:lang w:val="en-IN" w:eastAsia="en-IN"/>
      </w:rPr>
      <mc:AlternateContent>
        <mc:Choice Requires="wps">
          <w:drawing>
            <wp:anchor distT="0" distB="0" distL="114300" distR="114300" simplePos="0" relativeHeight="503311976" behindDoc="1" locked="0" layoutInCell="1" allowOverlap="1" wp14:anchorId="64CA9D83" wp14:editId="4C099D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41399" w14:textId="67536D2A"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9D8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34C41399" w14:textId="67536D2A"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3EED" w14:textId="77777777" w:rsidR="007776E6" w:rsidRDefault="00777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BD663" w14:textId="77777777" w:rsidR="005A56DE" w:rsidRDefault="005A56DE">
      <w:r>
        <w:separator/>
      </w:r>
    </w:p>
  </w:footnote>
  <w:footnote w:type="continuationSeparator" w:id="0">
    <w:p w14:paraId="74322B72" w14:textId="77777777" w:rsidR="005A56DE" w:rsidRDefault="005A5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D803" w14:textId="77777777" w:rsidR="007776E6" w:rsidRDefault="00777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814C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2C72B50" wp14:editId="2DD5507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0162E" w14:textId="70A2B8EB" w:rsidR="00AE3E37" w:rsidRPr="00975864" w:rsidRDefault="00AE3E37">
                          <w:pPr>
                            <w:spacing w:before="2" w:line="249" w:lineRule="auto"/>
                            <w:ind w:left="156" w:right="18" w:hanging="137"/>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72B50"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7F0162E" w14:textId="70A2B8EB" w:rsidR="00AE3E37" w:rsidRPr="00975864" w:rsidRDefault="00AE3E37">
                    <w:pPr>
                      <w:spacing w:before="2" w:line="249" w:lineRule="auto"/>
                      <w:ind w:left="156" w:right="18" w:hanging="137"/>
                      <w:rPr>
                        <w:rFonts w:ascii="Arial"/>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B7BB141" wp14:editId="034BEF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605E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3C5A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BB141"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4A605E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3C5A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AA50" w14:textId="77777777" w:rsidR="007776E6" w:rsidRDefault="00777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60A11EC"/>
    <w:multiLevelType w:val="multilevel"/>
    <w:tmpl w:val="6B505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F5566B"/>
    <w:multiLevelType w:val="multilevel"/>
    <w:tmpl w:val="FD64A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2BE3"/>
    <w:rsid w:val="000E2911"/>
    <w:rsid w:val="001263DF"/>
    <w:rsid w:val="001B1DE0"/>
    <w:rsid w:val="001B7AA3"/>
    <w:rsid w:val="001E763C"/>
    <w:rsid w:val="00236370"/>
    <w:rsid w:val="00292ED9"/>
    <w:rsid w:val="00314AFB"/>
    <w:rsid w:val="003970A5"/>
    <w:rsid w:val="003A4625"/>
    <w:rsid w:val="003B76D9"/>
    <w:rsid w:val="00404E5B"/>
    <w:rsid w:val="00414F7B"/>
    <w:rsid w:val="004355DC"/>
    <w:rsid w:val="004749B4"/>
    <w:rsid w:val="00494130"/>
    <w:rsid w:val="004E59EF"/>
    <w:rsid w:val="004F3523"/>
    <w:rsid w:val="00564B92"/>
    <w:rsid w:val="005973B9"/>
    <w:rsid w:val="005A56DE"/>
    <w:rsid w:val="005B3A56"/>
    <w:rsid w:val="006060CE"/>
    <w:rsid w:val="0063415F"/>
    <w:rsid w:val="0063497F"/>
    <w:rsid w:val="006F5552"/>
    <w:rsid w:val="007776E6"/>
    <w:rsid w:val="007807AF"/>
    <w:rsid w:val="0078738A"/>
    <w:rsid w:val="00873DF0"/>
    <w:rsid w:val="008756E6"/>
    <w:rsid w:val="008B3C63"/>
    <w:rsid w:val="008B7E25"/>
    <w:rsid w:val="00974BC5"/>
    <w:rsid w:val="00975864"/>
    <w:rsid w:val="009B0377"/>
    <w:rsid w:val="009B2D44"/>
    <w:rsid w:val="009C6CC4"/>
    <w:rsid w:val="00A07E82"/>
    <w:rsid w:val="00A60138"/>
    <w:rsid w:val="00A70188"/>
    <w:rsid w:val="00A9710C"/>
    <w:rsid w:val="00AE3E37"/>
    <w:rsid w:val="00B029B5"/>
    <w:rsid w:val="00B21A57"/>
    <w:rsid w:val="00C060CF"/>
    <w:rsid w:val="00C33602"/>
    <w:rsid w:val="00C40BDB"/>
    <w:rsid w:val="00CD6F55"/>
    <w:rsid w:val="00D62425"/>
    <w:rsid w:val="00DE3104"/>
    <w:rsid w:val="00E73B4E"/>
    <w:rsid w:val="00EB5430"/>
    <w:rsid w:val="00F0392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9D4B5"/>
  <w15:docId w15:val="{9E645D72-0109-4EB6-877B-C3C82BB2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3A4625"/>
    <w:rPr>
      <w:i/>
      <w:iCs/>
    </w:rPr>
  </w:style>
  <w:style w:type="paragraph" w:styleId="NormalWeb">
    <w:name w:val="Normal (Web)"/>
    <w:basedOn w:val="Normal"/>
    <w:uiPriority w:val="99"/>
    <w:unhideWhenUsed/>
    <w:rsid w:val="009B0377"/>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50154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sciencedirect.com/topics/pharmacology-toxicology-and-pharmaceutical-science/zeta-potential"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sciencedirect.com/science/journal/01418130/178/supp/C" TargetMode="External"/><Relationship Id="rId2" Type="http://schemas.openxmlformats.org/officeDocument/2006/relationships/styles" Target="styles.xml"/><Relationship Id="rId16" Type="http://schemas.openxmlformats.org/officeDocument/2006/relationships/hyperlink" Target="https://www.sciencedirect.com/science/article/abs/pii/S014181302100424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sciencedirect.com/topics/pharmacology-toxicology-and-pharmaceutical-science/pseudomonas-aerugino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538</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Priyanka Chhabra-GUSBAS201827328</cp:lastModifiedBy>
  <cp:revision>19</cp:revision>
  <dcterms:created xsi:type="dcterms:W3CDTF">2016-08-31T13:10:00Z</dcterms:created>
  <dcterms:modified xsi:type="dcterms:W3CDTF">2021-05-08T18:14:00Z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