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5A2" w:rsidRPr="002B4A81" w:rsidRDefault="000055A2" w:rsidP="000055A2">
      <w:pPr>
        <w:pStyle w:val="Authors"/>
        <w:framePr w:w="0" w:hSpace="0" w:vSpace="0" w:wrap="auto" w:vAnchor="margin" w:hAnchor="text" w:xAlign="left" w:yAlign="inline"/>
        <w:spacing w:after="0"/>
        <w:rPr>
          <w:rStyle w:val="Strong"/>
          <w:rFonts w:asciiTheme="majorBidi" w:hAnsiTheme="majorBidi" w:cstheme="majorBidi"/>
          <w:sz w:val="28"/>
          <w:szCs w:val="28"/>
        </w:rPr>
      </w:pPr>
      <w:proofErr w:type="spellStart"/>
      <w:r w:rsidRPr="002B4A81">
        <w:rPr>
          <w:rStyle w:val="Strong"/>
          <w:rFonts w:asciiTheme="majorBidi" w:hAnsiTheme="majorBidi" w:cstheme="majorBidi"/>
          <w:sz w:val="28"/>
          <w:szCs w:val="28"/>
        </w:rPr>
        <w:t>Seroprevalence</w:t>
      </w:r>
      <w:proofErr w:type="spellEnd"/>
      <w:r w:rsidRPr="002B4A81">
        <w:rPr>
          <w:rStyle w:val="Strong"/>
          <w:rFonts w:asciiTheme="majorBidi" w:hAnsiTheme="majorBidi" w:cstheme="majorBidi"/>
          <w:sz w:val="28"/>
          <w:szCs w:val="28"/>
        </w:rPr>
        <w:t xml:space="preserve"> of </w:t>
      </w:r>
      <w:r w:rsidRPr="002B4A81">
        <w:rPr>
          <w:rStyle w:val="Strong"/>
          <w:rFonts w:asciiTheme="majorBidi" w:hAnsiTheme="majorBidi" w:cstheme="majorBidi"/>
          <w:i/>
          <w:iCs/>
          <w:sz w:val="28"/>
          <w:szCs w:val="28"/>
        </w:rPr>
        <w:t xml:space="preserve">Toxoplasma </w:t>
      </w:r>
      <w:proofErr w:type="spellStart"/>
      <w:r w:rsidRPr="002B4A81">
        <w:rPr>
          <w:rStyle w:val="Strong"/>
          <w:rFonts w:asciiTheme="majorBidi" w:hAnsiTheme="majorBidi" w:cstheme="majorBidi"/>
          <w:i/>
          <w:iCs/>
          <w:sz w:val="28"/>
          <w:szCs w:val="28"/>
        </w:rPr>
        <w:t>gondii</w:t>
      </w:r>
      <w:proofErr w:type="spellEnd"/>
      <w:r w:rsidRPr="002B4A81">
        <w:rPr>
          <w:rStyle w:val="Strong"/>
          <w:rFonts w:asciiTheme="majorBidi" w:hAnsiTheme="majorBidi" w:cstheme="majorBidi"/>
          <w:sz w:val="28"/>
          <w:szCs w:val="28"/>
        </w:rPr>
        <w:t xml:space="preserve"> infection among pregnant women in Kuwait</w:t>
      </w:r>
    </w:p>
    <w:p w:rsidR="002B4A81" w:rsidRDefault="002B4A81" w:rsidP="000055A2">
      <w:pPr>
        <w:pStyle w:val="Authors"/>
        <w:framePr w:w="0" w:hSpace="0" w:vSpace="0" w:wrap="auto" w:vAnchor="margin" w:hAnchor="text" w:xAlign="left" w:yAlign="inline"/>
        <w:spacing w:after="0"/>
        <w:jc w:val="left"/>
        <w:rPr>
          <w:rStyle w:val="Strong"/>
          <w:rFonts w:asciiTheme="majorBidi" w:hAnsiTheme="majorBidi" w:cstheme="majorBidi"/>
          <w:b w:val="0"/>
          <w:bCs w:val="0"/>
          <w:sz w:val="24"/>
          <w:szCs w:val="24"/>
        </w:rPr>
      </w:pPr>
    </w:p>
    <w:p w:rsidR="000055A2" w:rsidRPr="002B4A81" w:rsidRDefault="000055A2" w:rsidP="000055A2">
      <w:pPr>
        <w:pStyle w:val="Authors"/>
        <w:framePr w:w="0" w:hSpace="0" w:vSpace="0" w:wrap="auto" w:vAnchor="margin" w:hAnchor="text" w:xAlign="left" w:yAlign="inline"/>
        <w:spacing w:after="0"/>
        <w:jc w:val="left"/>
        <w:rPr>
          <w:rStyle w:val="Strong"/>
          <w:rFonts w:asciiTheme="majorBidi" w:hAnsiTheme="majorBidi" w:cstheme="majorBidi"/>
          <w:b w:val="0"/>
          <w:bCs w:val="0"/>
          <w:sz w:val="24"/>
          <w:szCs w:val="24"/>
        </w:rPr>
      </w:pPr>
      <w:r w:rsidRPr="002B4A81">
        <w:rPr>
          <w:rStyle w:val="Strong"/>
          <w:rFonts w:asciiTheme="majorBidi" w:hAnsiTheme="majorBidi" w:cstheme="majorBidi"/>
          <w:b w:val="0"/>
          <w:bCs w:val="0"/>
          <w:sz w:val="24"/>
          <w:szCs w:val="24"/>
        </w:rPr>
        <w:t>Jamshaid Iqbal, Professor, Faculty of Medicine, Kuwait University, Kuwait</w:t>
      </w:r>
    </w:p>
    <w:p w:rsidR="000055A2" w:rsidRPr="002B4A81" w:rsidRDefault="000055A2" w:rsidP="000055A2">
      <w:pPr>
        <w:pStyle w:val="Authors"/>
        <w:framePr w:w="0" w:hSpace="0" w:vSpace="0" w:wrap="auto" w:vAnchor="margin" w:hAnchor="text" w:xAlign="left" w:yAlign="inline"/>
        <w:spacing w:after="0"/>
        <w:jc w:val="left"/>
        <w:rPr>
          <w:rStyle w:val="Strong"/>
          <w:rFonts w:asciiTheme="majorBidi" w:hAnsiTheme="majorBidi" w:cstheme="majorBidi"/>
          <w:b w:val="0"/>
          <w:bCs w:val="0"/>
          <w:sz w:val="24"/>
          <w:szCs w:val="24"/>
        </w:rPr>
      </w:pPr>
      <w:r w:rsidRPr="002B4A81">
        <w:rPr>
          <w:rStyle w:val="Strong"/>
          <w:rFonts w:asciiTheme="majorBidi" w:hAnsiTheme="majorBidi" w:cstheme="majorBidi"/>
          <w:b w:val="0"/>
          <w:bCs w:val="0"/>
          <w:sz w:val="24"/>
          <w:szCs w:val="24"/>
        </w:rPr>
        <w:t>Nourah Al-Shammari,</w:t>
      </w:r>
      <w:r w:rsidRPr="002B4A81">
        <w:rPr>
          <w:rStyle w:val="Strong"/>
          <w:rFonts w:asciiTheme="majorBidi" w:hAnsiTheme="majorBidi" w:cstheme="majorBidi"/>
          <w:b w:val="0"/>
          <w:bCs w:val="0"/>
          <w:sz w:val="24"/>
          <w:szCs w:val="24"/>
        </w:rPr>
        <w:t xml:space="preserve"> </w:t>
      </w:r>
      <w:r w:rsidR="002B4A81">
        <w:rPr>
          <w:rStyle w:val="Strong"/>
          <w:rFonts w:asciiTheme="majorBidi" w:hAnsiTheme="majorBidi" w:cstheme="majorBidi"/>
          <w:b w:val="0"/>
          <w:bCs w:val="0"/>
          <w:sz w:val="24"/>
          <w:szCs w:val="24"/>
        </w:rPr>
        <w:t xml:space="preserve">      </w:t>
      </w:r>
      <w:r w:rsidRPr="002B4A81">
        <w:rPr>
          <w:rStyle w:val="Strong"/>
          <w:rFonts w:asciiTheme="majorBidi" w:hAnsiTheme="majorBidi" w:cstheme="majorBidi"/>
          <w:b w:val="0"/>
          <w:bCs w:val="0"/>
          <w:sz w:val="24"/>
          <w:szCs w:val="24"/>
        </w:rPr>
        <w:t>Faculty of Medicine, Kuwait University, Kuwait</w:t>
      </w:r>
    </w:p>
    <w:p w:rsidR="00AE3E37" w:rsidRPr="002B4A81" w:rsidRDefault="00AE3E37" w:rsidP="000055A2">
      <w:pPr>
        <w:pStyle w:val="Authors"/>
        <w:framePr w:w="0" w:hSpace="0" w:vSpace="0" w:wrap="auto" w:vAnchor="margin" w:hAnchor="text" w:xAlign="left" w:yAlign="inline"/>
        <w:spacing w:after="0"/>
        <w:jc w:val="left"/>
        <w:rPr>
          <w:rFonts w:asciiTheme="majorBidi" w:hAnsiTheme="majorBidi" w:cstheme="majorBidi"/>
          <w:sz w:val="20"/>
        </w:rPr>
      </w:pPr>
    </w:p>
    <w:p w:rsidR="00AE3E37" w:rsidRPr="002B4A81" w:rsidRDefault="00AE3E37">
      <w:pPr>
        <w:pStyle w:val="BodyText"/>
        <w:spacing w:before="3"/>
        <w:rPr>
          <w:rFonts w:asciiTheme="majorBidi" w:hAnsiTheme="majorBidi" w:cstheme="majorBidi"/>
          <w:sz w:val="21"/>
        </w:rPr>
      </w:pPr>
    </w:p>
    <w:p w:rsidR="00AE3E37" w:rsidRPr="002B4A81" w:rsidRDefault="00AE3E37">
      <w:pPr>
        <w:rPr>
          <w:rFonts w:asciiTheme="majorBidi" w:hAnsiTheme="majorBidi" w:cstheme="majorBidi"/>
          <w:sz w:val="21"/>
        </w:rPr>
        <w:sectPr w:rsidR="00AE3E37" w:rsidRPr="002B4A81">
          <w:headerReference w:type="default" r:id="rId7"/>
          <w:footerReference w:type="default" r:id="rId8"/>
          <w:type w:val="continuous"/>
          <w:pgSz w:w="11910" w:h="16840"/>
          <w:pgMar w:top="1740" w:right="600" w:bottom="840" w:left="620" w:header="541" w:footer="642" w:gutter="0"/>
          <w:cols w:space="720"/>
        </w:sectPr>
      </w:pPr>
    </w:p>
    <w:p w:rsidR="000055A2" w:rsidRPr="002B4A81" w:rsidRDefault="000055A2" w:rsidP="000055A2">
      <w:pPr>
        <w:spacing w:line="360" w:lineRule="auto"/>
        <w:jc w:val="both"/>
        <w:rPr>
          <w:rFonts w:asciiTheme="majorBidi" w:hAnsiTheme="majorBidi" w:cstheme="majorBidi"/>
          <w:b/>
          <w:bCs/>
        </w:rPr>
      </w:pPr>
      <w:bookmarkStart w:id="0" w:name="PointTmp"/>
      <w:r w:rsidRPr="002B4A81">
        <w:rPr>
          <w:rFonts w:asciiTheme="majorBidi" w:hAnsiTheme="majorBidi" w:cstheme="majorBidi"/>
          <w:b/>
          <w:bCs/>
        </w:rPr>
        <w:t>Background</w:t>
      </w:r>
    </w:p>
    <w:p w:rsidR="000055A2" w:rsidRPr="002B4A81" w:rsidRDefault="000055A2" w:rsidP="000055A2">
      <w:pPr>
        <w:spacing w:line="360" w:lineRule="auto"/>
        <w:jc w:val="both"/>
        <w:rPr>
          <w:rFonts w:asciiTheme="majorBidi" w:hAnsiTheme="majorBidi" w:cstheme="majorBidi"/>
        </w:rPr>
      </w:pPr>
      <w:r w:rsidRPr="002B4A81">
        <w:rPr>
          <w:rFonts w:asciiTheme="majorBidi" w:hAnsiTheme="majorBidi" w:cstheme="majorBidi"/>
        </w:rPr>
        <w:t xml:space="preserve">Toxoplasmosis is caused by an obligate intracellular opportunistic protozoan </w:t>
      </w:r>
      <w:r w:rsidRPr="002B4A81">
        <w:rPr>
          <w:rFonts w:asciiTheme="majorBidi" w:hAnsiTheme="majorBidi" w:cstheme="majorBidi"/>
          <w:i/>
          <w:iCs/>
        </w:rPr>
        <w:t xml:space="preserve">Toxoplasma </w:t>
      </w:r>
      <w:proofErr w:type="spellStart"/>
      <w:r w:rsidRPr="002B4A81">
        <w:rPr>
          <w:rFonts w:asciiTheme="majorBidi" w:hAnsiTheme="majorBidi" w:cstheme="majorBidi"/>
          <w:i/>
          <w:iCs/>
        </w:rPr>
        <w:t>gondii</w:t>
      </w:r>
      <w:proofErr w:type="spellEnd"/>
      <w:r w:rsidRPr="002B4A81">
        <w:rPr>
          <w:rFonts w:asciiTheme="majorBidi" w:hAnsiTheme="majorBidi" w:cstheme="majorBidi"/>
          <w:i/>
          <w:iCs/>
        </w:rPr>
        <w:t xml:space="preserve"> (T. </w:t>
      </w:r>
      <w:proofErr w:type="spellStart"/>
      <w:r w:rsidRPr="002B4A81">
        <w:rPr>
          <w:rFonts w:asciiTheme="majorBidi" w:hAnsiTheme="majorBidi" w:cstheme="majorBidi"/>
          <w:i/>
          <w:iCs/>
        </w:rPr>
        <w:t>gondii</w:t>
      </w:r>
      <w:proofErr w:type="spellEnd"/>
      <w:r w:rsidRPr="002B4A81">
        <w:rPr>
          <w:rFonts w:asciiTheme="majorBidi" w:hAnsiTheme="majorBidi" w:cstheme="majorBidi"/>
          <w:i/>
          <w:iCs/>
        </w:rPr>
        <w:t>)</w:t>
      </w:r>
      <w:r w:rsidRPr="002B4A81">
        <w:rPr>
          <w:rFonts w:asciiTheme="majorBidi" w:hAnsiTheme="majorBidi" w:cstheme="majorBidi"/>
        </w:rPr>
        <w:t xml:space="preserve">. It is found worldwide, affecting about one-third of human population. There are a number of risk factors that may predispose to acquiring infection including ingestion raw or poorly cooked meat containing tissue cysts, or by consuming water or food contaminated with infectious oocysts. Typically, only 10% of the infected individuals may develop flu-like symptoms however, it may cause severe consequences in patients with immunodeficiency. The </w:t>
      </w:r>
      <w:proofErr w:type="spellStart"/>
      <w:r w:rsidRPr="002B4A81">
        <w:rPr>
          <w:rFonts w:asciiTheme="majorBidi" w:hAnsiTheme="majorBidi" w:cstheme="majorBidi"/>
        </w:rPr>
        <w:t>seroprevalence</w:t>
      </w:r>
      <w:proofErr w:type="spellEnd"/>
      <w:r w:rsidRPr="002B4A81">
        <w:rPr>
          <w:rFonts w:asciiTheme="majorBidi" w:hAnsiTheme="majorBidi" w:cstheme="majorBidi"/>
        </w:rPr>
        <w:t xml:space="preserve"> of </w:t>
      </w:r>
      <w:r w:rsidRPr="002B4A81">
        <w:rPr>
          <w:rFonts w:asciiTheme="majorBidi" w:hAnsiTheme="majorBidi" w:cstheme="majorBidi"/>
          <w:i/>
          <w:iCs/>
        </w:rPr>
        <w:t xml:space="preserve">T.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infection varies from 6.1% to 88.6% in different continents and countries which is attributed to socioeconomic status, geographical and climates characteristics, and age distribution</w:t>
      </w:r>
      <w:r w:rsidR="002B4A81">
        <w:rPr>
          <w:rFonts w:asciiTheme="majorBidi" w:hAnsiTheme="majorBidi" w:cstheme="majorBidi"/>
        </w:rPr>
        <w:t xml:space="preserve"> (1-4)</w:t>
      </w:r>
      <w:r w:rsidRPr="002B4A81">
        <w:rPr>
          <w:rFonts w:asciiTheme="majorBidi" w:hAnsiTheme="majorBidi" w:cstheme="majorBidi"/>
        </w:rPr>
        <w:t>.</w:t>
      </w:r>
    </w:p>
    <w:p w:rsidR="000055A2" w:rsidRPr="002B4A81" w:rsidRDefault="000055A2" w:rsidP="000055A2">
      <w:pPr>
        <w:spacing w:line="360" w:lineRule="auto"/>
        <w:jc w:val="both"/>
        <w:rPr>
          <w:rFonts w:asciiTheme="majorBidi" w:hAnsiTheme="majorBidi" w:cstheme="majorBidi"/>
        </w:rPr>
      </w:pPr>
      <w:r w:rsidRPr="002B4A81">
        <w:rPr>
          <w:rFonts w:asciiTheme="majorBidi" w:hAnsiTheme="majorBidi" w:cstheme="majorBidi"/>
          <w:lang w:bidi="ar-KW"/>
        </w:rPr>
        <w:t>Acute infection during the 1</w:t>
      </w:r>
      <w:r w:rsidRPr="002B4A81">
        <w:rPr>
          <w:rFonts w:asciiTheme="majorBidi" w:hAnsiTheme="majorBidi" w:cstheme="majorBidi"/>
          <w:vertAlign w:val="superscript"/>
          <w:lang w:bidi="ar-KW"/>
        </w:rPr>
        <w:t>st</w:t>
      </w:r>
      <w:r w:rsidRPr="002B4A81">
        <w:rPr>
          <w:rFonts w:asciiTheme="majorBidi" w:hAnsiTheme="majorBidi" w:cstheme="majorBidi"/>
          <w:lang w:bidi="ar-KW"/>
        </w:rPr>
        <w:t xml:space="preserve"> trimester of pregnancy may transmit the infection to the fetus through placenta and may cause a wide range of disease entities, </w:t>
      </w:r>
      <w:proofErr w:type="spellStart"/>
      <w:r w:rsidRPr="002B4A81">
        <w:rPr>
          <w:rFonts w:asciiTheme="majorBidi" w:hAnsiTheme="majorBidi" w:cstheme="majorBidi"/>
          <w:lang w:bidi="ar-KW"/>
        </w:rPr>
        <w:t>chorioretinitis</w:t>
      </w:r>
      <w:proofErr w:type="spellEnd"/>
      <w:r w:rsidRPr="002B4A81">
        <w:rPr>
          <w:rFonts w:asciiTheme="majorBidi" w:hAnsiTheme="majorBidi" w:cstheme="majorBidi"/>
          <w:lang w:bidi="ar-KW"/>
        </w:rPr>
        <w:t>, hydrocephalus and abortion</w:t>
      </w:r>
      <w:r w:rsidR="002B4A81">
        <w:rPr>
          <w:rFonts w:asciiTheme="majorBidi" w:hAnsiTheme="majorBidi" w:cstheme="majorBidi"/>
          <w:lang w:bidi="ar-KW"/>
        </w:rPr>
        <w:t xml:space="preserve"> (4)</w:t>
      </w:r>
      <w:r w:rsidRPr="002B4A81">
        <w:rPr>
          <w:rFonts w:asciiTheme="majorBidi" w:hAnsiTheme="majorBidi" w:cstheme="majorBidi"/>
          <w:lang w:bidi="ar-KW"/>
        </w:rPr>
        <w:t xml:space="preserve">. </w:t>
      </w:r>
      <w:r w:rsidRPr="002B4A81">
        <w:rPr>
          <w:rFonts w:asciiTheme="majorBidi" w:hAnsiTheme="majorBidi" w:cstheme="majorBidi"/>
        </w:rPr>
        <w:t xml:space="preserve">Therefore, early detection of infection in pregnant women with risk factors, especially in endemic countries is utmost important. The objective of the current study is to determine the prevalence and associated risk factors of </w:t>
      </w:r>
      <w:r w:rsidRPr="002B4A81">
        <w:rPr>
          <w:rFonts w:asciiTheme="majorBidi" w:hAnsiTheme="majorBidi" w:cstheme="majorBidi"/>
          <w:i/>
          <w:iCs/>
        </w:rPr>
        <w:t xml:space="preserve">T.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among pregnant women in Kuwait.</w:t>
      </w:r>
    </w:p>
    <w:p w:rsidR="000055A2" w:rsidRPr="002B4A81" w:rsidRDefault="000055A2" w:rsidP="000055A2">
      <w:pPr>
        <w:spacing w:line="360" w:lineRule="auto"/>
        <w:jc w:val="both"/>
        <w:rPr>
          <w:rFonts w:asciiTheme="majorBidi" w:hAnsiTheme="majorBidi" w:cstheme="majorBidi"/>
          <w:b/>
          <w:bCs/>
        </w:rPr>
      </w:pPr>
    </w:p>
    <w:p w:rsidR="000055A2" w:rsidRPr="002B4A81" w:rsidRDefault="000055A2" w:rsidP="000055A2">
      <w:pPr>
        <w:spacing w:line="360" w:lineRule="auto"/>
        <w:jc w:val="both"/>
        <w:rPr>
          <w:rFonts w:asciiTheme="majorBidi" w:hAnsiTheme="majorBidi" w:cstheme="majorBidi"/>
          <w:b/>
          <w:bCs/>
        </w:rPr>
      </w:pPr>
      <w:r w:rsidRPr="002B4A81">
        <w:rPr>
          <w:rFonts w:asciiTheme="majorBidi" w:hAnsiTheme="majorBidi" w:cstheme="majorBidi"/>
          <w:b/>
          <w:bCs/>
        </w:rPr>
        <w:t>Methodology</w:t>
      </w:r>
    </w:p>
    <w:p w:rsidR="000055A2" w:rsidRPr="002B4A81" w:rsidRDefault="000055A2" w:rsidP="002B4A81">
      <w:pPr>
        <w:spacing w:line="360" w:lineRule="auto"/>
        <w:jc w:val="both"/>
        <w:rPr>
          <w:rFonts w:asciiTheme="majorBidi" w:hAnsiTheme="majorBidi" w:cstheme="majorBidi"/>
        </w:rPr>
      </w:pPr>
      <w:r w:rsidRPr="002B4A81">
        <w:rPr>
          <w:rFonts w:asciiTheme="majorBidi" w:hAnsiTheme="majorBidi" w:cstheme="majorBidi"/>
        </w:rPr>
        <w:t xml:space="preserve">An observational cross-sectional descriptive study was conducted where 280 pregnant women attending antenatal clinics from multi-hospitals in the Kuwait were interviewed using close ending questionnaire during the </w:t>
      </w:r>
      <w:r w:rsidRPr="002B4A81">
        <w:rPr>
          <w:rFonts w:asciiTheme="majorBidi" w:hAnsiTheme="majorBidi" w:cstheme="majorBidi"/>
          <w:color w:val="000000"/>
        </w:rPr>
        <w:t xml:space="preserve">period June 2017-May 2018. Their </w:t>
      </w:r>
      <w:r w:rsidRPr="002B4A81">
        <w:rPr>
          <w:rFonts w:asciiTheme="majorBidi" w:hAnsiTheme="majorBidi" w:cstheme="majorBidi"/>
        </w:rPr>
        <w:t xml:space="preserve">serum was tested for both </w:t>
      </w:r>
      <w:r w:rsidRPr="002B4A81">
        <w:rPr>
          <w:rFonts w:asciiTheme="majorBidi" w:hAnsiTheme="majorBidi" w:cstheme="majorBidi"/>
          <w:i/>
          <w:iCs/>
        </w:rPr>
        <w:t xml:space="preserve">Toxoplasma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IgG antibody and IgG avidity using ELISA technique as described by the manufacturers. </w:t>
      </w:r>
      <w:bookmarkStart w:id="1" w:name="_GoBack"/>
      <w:bookmarkEnd w:id="1"/>
    </w:p>
    <w:p w:rsidR="000055A2" w:rsidRPr="002B4A81" w:rsidRDefault="000055A2" w:rsidP="000055A2">
      <w:pPr>
        <w:spacing w:line="360" w:lineRule="auto"/>
        <w:jc w:val="both"/>
        <w:rPr>
          <w:rFonts w:asciiTheme="majorBidi" w:hAnsiTheme="majorBidi" w:cstheme="majorBidi"/>
          <w:b/>
          <w:bCs/>
        </w:rPr>
      </w:pPr>
    </w:p>
    <w:p w:rsidR="000055A2" w:rsidRPr="002B4A81" w:rsidRDefault="000055A2" w:rsidP="000055A2">
      <w:pPr>
        <w:spacing w:line="360" w:lineRule="auto"/>
        <w:jc w:val="both"/>
        <w:rPr>
          <w:rFonts w:asciiTheme="majorBidi" w:hAnsiTheme="majorBidi" w:cstheme="majorBidi"/>
          <w:b/>
          <w:bCs/>
        </w:rPr>
      </w:pPr>
      <w:r w:rsidRPr="002B4A81">
        <w:rPr>
          <w:rFonts w:asciiTheme="majorBidi" w:hAnsiTheme="majorBidi" w:cstheme="majorBidi"/>
          <w:b/>
          <w:bCs/>
        </w:rPr>
        <w:t xml:space="preserve">Results </w:t>
      </w:r>
    </w:p>
    <w:p w:rsidR="000055A2" w:rsidRPr="002B4A81" w:rsidRDefault="000055A2" w:rsidP="000055A2">
      <w:pPr>
        <w:spacing w:line="360" w:lineRule="auto"/>
        <w:jc w:val="both"/>
        <w:rPr>
          <w:rFonts w:asciiTheme="majorBidi" w:hAnsiTheme="majorBidi" w:cstheme="majorBidi"/>
        </w:rPr>
      </w:pPr>
      <w:r w:rsidRPr="002B4A81">
        <w:rPr>
          <w:rFonts w:asciiTheme="majorBidi" w:hAnsiTheme="majorBidi" w:cstheme="majorBidi"/>
        </w:rPr>
        <w:t xml:space="preserve">Blood specimens from 280 pregnant women during different trimesters were screened for </w:t>
      </w:r>
      <w:r w:rsidRPr="002B4A81">
        <w:rPr>
          <w:rFonts w:asciiTheme="majorBidi" w:hAnsiTheme="majorBidi" w:cstheme="majorBidi"/>
          <w:i/>
          <w:iCs/>
        </w:rPr>
        <w:t xml:space="preserve">T.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IgG and IgG avidity. IgG ELISA were positive in 35 of the 280 women (12.5%), equivocal in 13 (4.6%), and negative in 232 (82.9%) cases. IgG avidity test was done on all the 35 IgG positive cases. The IgG avidity result was high in all 35 cases suggesting that these cases got the </w:t>
      </w:r>
      <w:r w:rsidRPr="002B4A81">
        <w:rPr>
          <w:rFonts w:asciiTheme="majorBidi" w:hAnsiTheme="majorBidi" w:cstheme="majorBidi"/>
          <w:i/>
          <w:iCs/>
        </w:rPr>
        <w:t xml:space="preserve">T.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infection before pregnancy. There was no significant difference between history of miscarriage, presence of cat, and eating uncooked meat among pregnant women concerning </w:t>
      </w:r>
      <w:r w:rsidRPr="002B4A81">
        <w:rPr>
          <w:rFonts w:asciiTheme="majorBidi" w:hAnsiTheme="majorBidi" w:cstheme="majorBidi"/>
          <w:i/>
          <w:iCs/>
        </w:rPr>
        <w:t xml:space="preserve">Toxoplasma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w:t>
      </w:r>
      <w:proofErr w:type="spellStart"/>
      <w:r w:rsidRPr="002B4A81">
        <w:rPr>
          <w:rFonts w:asciiTheme="majorBidi" w:hAnsiTheme="majorBidi" w:cstheme="majorBidi"/>
        </w:rPr>
        <w:t>seropositivity</w:t>
      </w:r>
      <w:proofErr w:type="spellEnd"/>
      <w:r w:rsidRPr="002B4A81">
        <w:rPr>
          <w:rFonts w:asciiTheme="majorBidi" w:hAnsiTheme="majorBidi" w:cstheme="majorBidi"/>
        </w:rPr>
        <w:t xml:space="preserve">. Moreover, there was no significant difference between gravidity and hand washing amongst pregnant women and toxoplasmosis </w:t>
      </w:r>
      <w:proofErr w:type="spellStart"/>
      <w:r w:rsidRPr="002B4A81">
        <w:rPr>
          <w:rFonts w:asciiTheme="majorBidi" w:hAnsiTheme="majorBidi" w:cstheme="majorBidi"/>
        </w:rPr>
        <w:t>seropositivity</w:t>
      </w:r>
      <w:proofErr w:type="spellEnd"/>
      <w:r w:rsidRPr="002B4A81">
        <w:rPr>
          <w:rFonts w:asciiTheme="majorBidi" w:hAnsiTheme="majorBidi" w:cstheme="majorBidi"/>
        </w:rPr>
        <w:t xml:space="preserve">. On the other hand, there was significant difference between nationality and </w:t>
      </w:r>
      <w:proofErr w:type="spellStart"/>
      <w:r w:rsidRPr="002B4A81">
        <w:rPr>
          <w:rFonts w:asciiTheme="majorBidi" w:hAnsiTheme="majorBidi" w:cstheme="majorBidi"/>
        </w:rPr>
        <w:t>seropositivity</w:t>
      </w:r>
      <w:proofErr w:type="spellEnd"/>
      <w:r w:rsidRPr="002B4A81">
        <w:rPr>
          <w:rFonts w:asciiTheme="majorBidi" w:hAnsiTheme="majorBidi" w:cstheme="majorBidi"/>
        </w:rPr>
        <w:t xml:space="preserve"> to anti-</w:t>
      </w:r>
      <w:r w:rsidRPr="002B4A81">
        <w:rPr>
          <w:rFonts w:asciiTheme="majorBidi" w:hAnsiTheme="majorBidi" w:cstheme="majorBidi"/>
          <w:i/>
          <w:iCs/>
        </w:rPr>
        <w:t xml:space="preserve">T. </w:t>
      </w:r>
      <w:proofErr w:type="spellStart"/>
      <w:proofErr w:type="gramStart"/>
      <w:r w:rsidRPr="002B4A81">
        <w:rPr>
          <w:rFonts w:asciiTheme="majorBidi" w:hAnsiTheme="majorBidi" w:cstheme="majorBidi"/>
          <w:i/>
          <w:iCs/>
        </w:rPr>
        <w:t>gondii</w:t>
      </w:r>
      <w:proofErr w:type="spellEnd"/>
      <w:proofErr w:type="gramEnd"/>
      <w:r w:rsidRPr="002B4A81">
        <w:rPr>
          <w:rFonts w:asciiTheme="majorBidi" w:hAnsiTheme="majorBidi" w:cstheme="majorBidi"/>
        </w:rPr>
        <w:t xml:space="preserve"> (p&lt;0.005)</w:t>
      </w:r>
      <w:r w:rsidRPr="002B4A81">
        <w:rPr>
          <w:rFonts w:asciiTheme="majorBidi" w:hAnsiTheme="majorBidi" w:cstheme="majorBidi"/>
          <w:color w:val="FF0000"/>
        </w:rPr>
        <w:t xml:space="preserve">. </w:t>
      </w:r>
    </w:p>
    <w:p w:rsidR="000055A2" w:rsidRPr="002B4A81" w:rsidRDefault="000055A2" w:rsidP="000055A2">
      <w:pPr>
        <w:adjustRightInd w:val="0"/>
        <w:spacing w:line="360" w:lineRule="auto"/>
        <w:jc w:val="both"/>
        <w:rPr>
          <w:rFonts w:asciiTheme="majorBidi" w:hAnsiTheme="majorBidi" w:cstheme="majorBidi"/>
        </w:rPr>
      </w:pPr>
      <w:r w:rsidRPr="002B4A81">
        <w:rPr>
          <w:rFonts w:asciiTheme="majorBidi" w:hAnsiTheme="majorBidi" w:cstheme="majorBidi"/>
        </w:rPr>
        <w:t xml:space="preserve">A non-parametric test analysis showed statistically significant difference between IgG </w:t>
      </w:r>
      <w:proofErr w:type="spellStart"/>
      <w:r w:rsidRPr="002B4A81">
        <w:rPr>
          <w:rFonts w:asciiTheme="majorBidi" w:hAnsiTheme="majorBidi" w:cstheme="majorBidi"/>
        </w:rPr>
        <w:t>seropositivity</w:t>
      </w:r>
      <w:proofErr w:type="spellEnd"/>
      <w:r w:rsidRPr="002B4A81">
        <w:rPr>
          <w:rFonts w:asciiTheme="majorBidi" w:hAnsiTheme="majorBidi" w:cstheme="majorBidi"/>
        </w:rPr>
        <w:t xml:space="preserve"> and the distribution of regional classes, and residence. However, participants' gestational period, age groups, education status, occupations status, and number of their children were not significantly associated with </w:t>
      </w:r>
      <w:r w:rsidRPr="002B4A81">
        <w:rPr>
          <w:rFonts w:asciiTheme="majorBidi" w:hAnsiTheme="majorBidi" w:cstheme="majorBidi"/>
          <w:i/>
          <w:iCs/>
        </w:rPr>
        <w:t xml:space="preserve">Toxoplasma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w:t>
      </w:r>
      <w:proofErr w:type="spellStart"/>
      <w:r w:rsidRPr="002B4A81">
        <w:rPr>
          <w:rFonts w:asciiTheme="majorBidi" w:hAnsiTheme="majorBidi" w:cstheme="majorBidi"/>
        </w:rPr>
        <w:t>seropositivity</w:t>
      </w:r>
      <w:proofErr w:type="spellEnd"/>
      <w:r w:rsidRPr="002B4A81">
        <w:rPr>
          <w:rFonts w:asciiTheme="majorBidi" w:hAnsiTheme="majorBidi" w:cstheme="majorBidi"/>
        </w:rPr>
        <w:t xml:space="preserve">. </w:t>
      </w:r>
    </w:p>
    <w:p w:rsidR="000055A2" w:rsidRPr="002B4A81" w:rsidRDefault="000055A2" w:rsidP="000055A2">
      <w:pPr>
        <w:spacing w:line="360" w:lineRule="auto"/>
        <w:jc w:val="both"/>
        <w:rPr>
          <w:rFonts w:asciiTheme="majorBidi" w:hAnsiTheme="majorBidi" w:cstheme="majorBidi"/>
        </w:rPr>
      </w:pPr>
    </w:p>
    <w:p w:rsidR="000055A2" w:rsidRPr="002B4A81" w:rsidRDefault="000055A2" w:rsidP="000055A2">
      <w:pPr>
        <w:spacing w:line="360" w:lineRule="auto"/>
        <w:jc w:val="both"/>
        <w:rPr>
          <w:rFonts w:asciiTheme="majorBidi" w:hAnsiTheme="majorBidi" w:cstheme="majorBidi"/>
          <w:b/>
          <w:bCs/>
        </w:rPr>
      </w:pPr>
      <w:r w:rsidRPr="002B4A81">
        <w:rPr>
          <w:rFonts w:asciiTheme="majorBidi" w:hAnsiTheme="majorBidi" w:cstheme="majorBidi"/>
          <w:b/>
          <w:bCs/>
        </w:rPr>
        <w:t>Conclusion</w:t>
      </w:r>
    </w:p>
    <w:p w:rsidR="000055A2" w:rsidRPr="002B4A81" w:rsidRDefault="000055A2" w:rsidP="000055A2">
      <w:pPr>
        <w:spacing w:line="360" w:lineRule="auto"/>
        <w:jc w:val="both"/>
        <w:rPr>
          <w:rFonts w:asciiTheme="majorBidi" w:hAnsiTheme="majorBidi" w:cstheme="majorBidi"/>
        </w:rPr>
      </w:pPr>
      <w:r w:rsidRPr="002B4A81">
        <w:rPr>
          <w:rFonts w:asciiTheme="majorBidi" w:hAnsiTheme="majorBidi" w:cstheme="majorBidi"/>
        </w:rPr>
        <w:t xml:space="preserve">Our study shows a low prevalence (12.5%) </w:t>
      </w:r>
      <w:r w:rsidRPr="002B4A81">
        <w:rPr>
          <w:rFonts w:asciiTheme="majorBidi" w:hAnsiTheme="majorBidi" w:cstheme="majorBidi"/>
          <w:i/>
          <w:iCs/>
        </w:rPr>
        <w:t xml:space="preserve">T. </w:t>
      </w:r>
      <w:proofErr w:type="spellStart"/>
      <w:r w:rsidRPr="002B4A81">
        <w:rPr>
          <w:rFonts w:asciiTheme="majorBidi" w:hAnsiTheme="majorBidi" w:cstheme="majorBidi"/>
          <w:i/>
          <w:iCs/>
        </w:rPr>
        <w:t>gondii</w:t>
      </w:r>
      <w:proofErr w:type="spellEnd"/>
      <w:r w:rsidRPr="002B4A81">
        <w:rPr>
          <w:rFonts w:asciiTheme="majorBidi" w:hAnsiTheme="majorBidi" w:cstheme="majorBidi"/>
        </w:rPr>
        <w:t xml:space="preserve"> infection among the pregnant women in Kuwait. The country of residence and education status showed a significant association with </w:t>
      </w:r>
      <w:r w:rsidRPr="002B4A81">
        <w:rPr>
          <w:rFonts w:asciiTheme="majorBidi" w:hAnsiTheme="majorBidi" w:cstheme="majorBidi"/>
          <w:i/>
          <w:iCs/>
        </w:rPr>
        <w:t>Toxoplasma</w:t>
      </w:r>
      <w:r w:rsidRPr="002B4A81">
        <w:rPr>
          <w:rFonts w:asciiTheme="majorBidi" w:hAnsiTheme="majorBidi" w:cstheme="majorBidi"/>
        </w:rPr>
        <w:t xml:space="preserve"> infection. Though screening test is carried out routinely in Kuwait, but there is a need to conduct health education/awareness programs on the risk factors to prevent infection.</w:t>
      </w:r>
    </w:p>
    <w:p w:rsidR="000055A2" w:rsidRPr="002B4A81" w:rsidRDefault="000055A2" w:rsidP="000055A2">
      <w:pPr>
        <w:jc w:val="both"/>
        <w:rPr>
          <w:rFonts w:asciiTheme="majorBidi" w:hAnsiTheme="majorBidi" w:cstheme="majorBidi"/>
          <w:color w:val="000000"/>
        </w:rPr>
      </w:pPr>
      <w:r w:rsidRPr="002B4A81">
        <w:rPr>
          <w:rFonts w:asciiTheme="majorBidi" w:hAnsiTheme="majorBidi" w:cstheme="majorBidi"/>
          <w:b/>
          <w:bCs/>
          <w:color w:val="000000"/>
        </w:rPr>
        <w:lastRenderedPageBreak/>
        <w:t>Acknowledgement:</w:t>
      </w:r>
      <w:r w:rsidRPr="002B4A81">
        <w:rPr>
          <w:rFonts w:asciiTheme="majorBidi" w:hAnsiTheme="majorBidi" w:cstheme="majorBidi"/>
          <w:color w:val="000000"/>
        </w:rPr>
        <w:t xml:space="preserve"> The financial support for the project is gratefully acknowledged by the Kuwait University Research Grant # YM 14/17</w:t>
      </w:r>
    </w:p>
    <w:p w:rsidR="000055A2" w:rsidRPr="002B4A81" w:rsidRDefault="000055A2" w:rsidP="000055A2">
      <w:pPr>
        <w:jc w:val="both"/>
        <w:rPr>
          <w:rFonts w:asciiTheme="majorBidi" w:hAnsiTheme="majorBidi" w:cstheme="majorBidi"/>
          <w:b/>
          <w:bCs/>
          <w:color w:val="000000"/>
        </w:rPr>
      </w:pPr>
      <w:r w:rsidRPr="002B4A81">
        <w:rPr>
          <w:rFonts w:asciiTheme="majorBidi" w:hAnsiTheme="majorBidi" w:cstheme="majorBidi"/>
          <w:b/>
          <w:bCs/>
          <w:color w:val="000000"/>
        </w:rPr>
        <w:t xml:space="preserve"> </w:t>
      </w:r>
    </w:p>
    <w:p w:rsidR="000055A2" w:rsidRPr="002B4A81" w:rsidRDefault="000055A2" w:rsidP="000055A2">
      <w:pPr>
        <w:jc w:val="both"/>
        <w:rPr>
          <w:rFonts w:asciiTheme="majorBidi" w:hAnsiTheme="majorBidi" w:cstheme="majorBidi"/>
          <w:color w:val="000000"/>
        </w:rPr>
      </w:pPr>
      <w:r w:rsidRPr="002B4A81">
        <w:rPr>
          <w:rFonts w:asciiTheme="majorBidi" w:hAnsiTheme="majorBidi" w:cstheme="majorBidi"/>
          <w:b/>
          <w:bCs/>
          <w:color w:val="000000"/>
        </w:rPr>
        <w:t>Key words:</w:t>
      </w:r>
      <w:r w:rsidRPr="002B4A81">
        <w:rPr>
          <w:rFonts w:asciiTheme="majorBidi" w:hAnsiTheme="majorBidi" w:cstheme="majorBidi"/>
          <w:color w:val="000000"/>
        </w:rPr>
        <w:t xml:space="preserve"> </w:t>
      </w:r>
      <w:r w:rsidRPr="002B4A81">
        <w:rPr>
          <w:rFonts w:asciiTheme="majorBidi" w:hAnsiTheme="majorBidi" w:cstheme="majorBidi"/>
          <w:i/>
          <w:iCs/>
          <w:color w:val="000000"/>
        </w:rPr>
        <w:t xml:space="preserve">T. </w:t>
      </w:r>
      <w:proofErr w:type="spellStart"/>
      <w:r w:rsidRPr="002B4A81">
        <w:rPr>
          <w:rFonts w:asciiTheme="majorBidi" w:hAnsiTheme="majorBidi" w:cstheme="majorBidi"/>
          <w:i/>
          <w:iCs/>
          <w:color w:val="000000"/>
        </w:rPr>
        <w:t>gondii</w:t>
      </w:r>
      <w:proofErr w:type="spellEnd"/>
      <w:r w:rsidRPr="002B4A81">
        <w:rPr>
          <w:rFonts w:asciiTheme="majorBidi" w:hAnsiTheme="majorBidi" w:cstheme="majorBidi"/>
          <w:color w:val="000000"/>
        </w:rPr>
        <w:t xml:space="preserve">, </w:t>
      </w:r>
      <w:proofErr w:type="gramStart"/>
      <w:r w:rsidRPr="002B4A81">
        <w:rPr>
          <w:rFonts w:asciiTheme="majorBidi" w:hAnsiTheme="majorBidi" w:cstheme="majorBidi"/>
          <w:color w:val="000000"/>
        </w:rPr>
        <w:t>Pregnant</w:t>
      </w:r>
      <w:proofErr w:type="gramEnd"/>
      <w:r w:rsidRPr="002B4A81">
        <w:rPr>
          <w:rFonts w:asciiTheme="majorBidi" w:hAnsiTheme="majorBidi" w:cstheme="majorBidi"/>
          <w:color w:val="000000"/>
        </w:rPr>
        <w:t xml:space="preserve"> women, Serology, IgG avidity</w:t>
      </w:r>
      <w:bookmarkEnd w:id="0"/>
    </w:p>
    <w:p w:rsidR="000055A2" w:rsidRPr="002B4A81" w:rsidRDefault="000055A2" w:rsidP="005973B9">
      <w:pPr>
        <w:spacing w:line="204" w:lineRule="exact"/>
        <w:rPr>
          <w:rFonts w:asciiTheme="majorBidi" w:hAnsiTheme="majorBidi" w:cstheme="majorBidi"/>
          <w:b/>
          <w:color w:val="BF5A14"/>
          <w:sz w:val="20"/>
        </w:rPr>
      </w:pPr>
    </w:p>
    <w:p w:rsidR="000055A2" w:rsidRPr="002B4A81" w:rsidRDefault="000055A2" w:rsidP="005973B9">
      <w:pPr>
        <w:spacing w:line="204" w:lineRule="exact"/>
        <w:rPr>
          <w:rFonts w:asciiTheme="majorBidi" w:hAnsiTheme="majorBidi" w:cstheme="majorBidi"/>
          <w:b/>
          <w:color w:val="BF5A14"/>
          <w:sz w:val="20"/>
        </w:rPr>
      </w:pPr>
    </w:p>
    <w:p w:rsidR="005973B9" w:rsidRPr="002B4A81" w:rsidRDefault="005973B9" w:rsidP="005973B9">
      <w:pPr>
        <w:spacing w:line="204" w:lineRule="exact"/>
        <w:rPr>
          <w:rFonts w:asciiTheme="majorBidi" w:hAnsiTheme="majorBidi" w:cstheme="majorBidi"/>
          <w:b/>
          <w:sz w:val="20"/>
        </w:rPr>
      </w:pPr>
      <w:r w:rsidRPr="002B4A81">
        <w:rPr>
          <w:rFonts w:asciiTheme="majorBidi" w:hAnsiTheme="majorBidi" w:cstheme="majorBidi"/>
          <w:b/>
          <w:color w:val="BF5A14"/>
          <w:sz w:val="20"/>
        </w:rPr>
        <w:t>Recent Publications (minimum 5)</w:t>
      </w:r>
    </w:p>
    <w:p w:rsidR="000055A2" w:rsidRPr="002B4A81" w:rsidRDefault="002B4A81" w:rsidP="000055A2">
      <w:pPr>
        <w:spacing w:line="200" w:lineRule="exact"/>
        <w:rPr>
          <w:rFonts w:asciiTheme="majorBidi" w:eastAsia="Calibri" w:hAnsiTheme="majorBidi" w:cstheme="majorBidi"/>
          <w:sz w:val="18"/>
        </w:rPr>
      </w:pPr>
      <w:r>
        <w:rPr>
          <w:rFonts w:asciiTheme="majorBidi" w:eastAsia="Calibri" w:hAnsiTheme="majorBidi" w:cstheme="majorBidi"/>
          <w:sz w:val="18"/>
        </w:rPr>
        <w:t>1</w:t>
      </w:r>
      <w:r w:rsidR="000055A2" w:rsidRPr="002B4A81">
        <w:rPr>
          <w:rFonts w:asciiTheme="majorBidi" w:eastAsia="Calibri" w:hAnsiTheme="majorBidi" w:cstheme="majorBidi"/>
          <w:sz w:val="18"/>
        </w:rPr>
        <w:t xml:space="preserve">. </w:t>
      </w:r>
      <w:proofErr w:type="spellStart"/>
      <w:r w:rsidR="000055A2" w:rsidRPr="002B4A81">
        <w:rPr>
          <w:rFonts w:asciiTheme="majorBidi" w:eastAsia="Calibri" w:hAnsiTheme="majorBidi" w:cstheme="majorBidi"/>
          <w:sz w:val="18"/>
        </w:rPr>
        <w:t>Flegr</w:t>
      </w:r>
      <w:proofErr w:type="spellEnd"/>
      <w:r w:rsidR="000055A2" w:rsidRPr="002B4A81">
        <w:rPr>
          <w:rFonts w:asciiTheme="majorBidi" w:eastAsia="Calibri" w:hAnsiTheme="majorBidi" w:cstheme="majorBidi"/>
          <w:sz w:val="18"/>
        </w:rPr>
        <w:t xml:space="preserve">, J., </w:t>
      </w:r>
      <w:proofErr w:type="spellStart"/>
      <w:r w:rsidR="000055A2" w:rsidRPr="002B4A81">
        <w:rPr>
          <w:rFonts w:asciiTheme="majorBidi" w:eastAsia="Calibri" w:hAnsiTheme="majorBidi" w:cstheme="majorBidi"/>
          <w:sz w:val="18"/>
        </w:rPr>
        <w:t>Prandota</w:t>
      </w:r>
      <w:proofErr w:type="spellEnd"/>
      <w:r w:rsidR="000055A2" w:rsidRPr="002B4A81">
        <w:rPr>
          <w:rFonts w:asciiTheme="majorBidi" w:eastAsia="Calibri" w:hAnsiTheme="majorBidi" w:cstheme="majorBidi"/>
          <w:sz w:val="18"/>
        </w:rPr>
        <w:t xml:space="preserve">, J., </w:t>
      </w:r>
      <w:proofErr w:type="spellStart"/>
      <w:r w:rsidR="000055A2" w:rsidRPr="002B4A81">
        <w:rPr>
          <w:rFonts w:asciiTheme="majorBidi" w:eastAsia="Calibri" w:hAnsiTheme="majorBidi" w:cstheme="majorBidi"/>
          <w:sz w:val="18"/>
        </w:rPr>
        <w:t>Sovickova</w:t>
      </w:r>
      <w:proofErr w:type="spellEnd"/>
      <w:r w:rsidR="000055A2" w:rsidRPr="002B4A81">
        <w:rPr>
          <w:rFonts w:asciiTheme="majorBidi" w:eastAsia="Calibri" w:hAnsiTheme="majorBidi" w:cstheme="majorBidi"/>
          <w:sz w:val="18"/>
        </w:rPr>
        <w:t xml:space="preserve">, M., &amp; </w:t>
      </w:r>
      <w:proofErr w:type="spellStart"/>
      <w:r w:rsidR="000055A2" w:rsidRPr="002B4A81">
        <w:rPr>
          <w:rFonts w:asciiTheme="majorBidi" w:eastAsia="Calibri" w:hAnsiTheme="majorBidi" w:cstheme="majorBidi"/>
          <w:sz w:val="18"/>
        </w:rPr>
        <w:t>Israili</w:t>
      </w:r>
      <w:proofErr w:type="spellEnd"/>
      <w:r w:rsidR="000055A2" w:rsidRPr="002B4A81">
        <w:rPr>
          <w:rFonts w:asciiTheme="majorBidi" w:eastAsia="Calibri" w:hAnsiTheme="majorBidi" w:cstheme="majorBidi"/>
          <w:sz w:val="18"/>
        </w:rPr>
        <w:t xml:space="preserve">, Z. H. (2014). Toxoplasmosis--a global threat. Correlation of latent toxoplasmosis </w:t>
      </w:r>
    </w:p>
    <w:p w:rsidR="000055A2" w:rsidRPr="002B4A81" w:rsidRDefault="000055A2" w:rsidP="000055A2">
      <w:pPr>
        <w:spacing w:line="200" w:lineRule="exact"/>
        <w:rPr>
          <w:rFonts w:asciiTheme="majorBidi" w:eastAsia="Calibri" w:hAnsiTheme="majorBidi" w:cstheme="majorBidi"/>
          <w:sz w:val="18"/>
        </w:rPr>
      </w:pPr>
      <w:r w:rsidRPr="002B4A81">
        <w:rPr>
          <w:rFonts w:asciiTheme="majorBidi" w:eastAsia="Calibri" w:hAnsiTheme="majorBidi" w:cstheme="majorBidi"/>
          <w:sz w:val="18"/>
        </w:rPr>
        <w:t xml:space="preserve"> </w:t>
      </w:r>
      <w:proofErr w:type="gramStart"/>
      <w:r w:rsidRPr="002B4A81">
        <w:rPr>
          <w:rFonts w:asciiTheme="majorBidi" w:eastAsia="Calibri" w:hAnsiTheme="majorBidi" w:cstheme="majorBidi"/>
          <w:sz w:val="18"/>
        </w:rPr>
        <w:t>with</w:t>
      </w:r>
      <w:proofErr w:type="gramEnd"/>
      <w:r w:rsidRPr="002B4A81">
        <w:rPr>
          <w:rFonts w:asciiTheme="majorBidi" w:eastAsia="Calibri" w:hAnsiTheme="majorBidi" w:cstheme="majorBidi"/>
          <w:sz w:val="18"/>
        </w:rPr>
        <w:t xml:space="preserve"> specific disease burden in a set of 88 countries. </w:t>
      </w:r>
      <w:proofErr w:type="spellStart"/>
      <w:r w:rsidRPr="002B4A81">
        <w:rPr>
          <w:rFonts w:asciiTheme="majorBidi" w:eastAsia="Calibri" w:hAnsiTheme="majorBidi" w:cstheme="majorBidi"/>
          <w:sz w:val="18"/>
        </w:rPr>
        <w:t>PLoS</w:t>
      </w:r>
      <w:proofErr w:type="spellEnd"/>
      <w:r w:rsidRPr="002B4A81">
        <w:rPr>
          <w:rFonts w:asciiTheme="majorBidi" w:eastAsia="Calibri" w:hAnsiTheme="majorBidi" w:cstheme="majorBidi"/>
          <w:sz w:val="18"/>
        </w:rPr>
        <w:t xml:space="preserve"> One, 9(3), e90203. doi:10.1371/journal.pone.0090203</w:t>
      </w:r>
    </w:p>
    <w:p w:rsidR="002B4A81" w:rsidRPr="002B4A81" w:rsidRDefault="002B4A81" w:rsidP="000055A2">
      <w:pPr>
        <w:spacing w:line="200" w:lineRule="exact"/>
        <w:rPr>
          <w:rFonts w:asciiTheme="majorBidi" w:eastAsia="Calibri" w:hAnsiTheme="majorBidi" w:cstheme="majorBidi"/>
          <w:sz w:val="18"/>
        </w:rPr>
      </w:pPr>
      <w:r>
        <w:rPr>
          <w:rFonts w:asciiTheme="majorBidi" w:eastAsia="Calibri" w:hAnsiTheme="majorBidi" w:cstheme="majorBidi"/>
          <w:sz w:val="18"/>
        </w:rPr>
        <w:t>2</w:t>
      </w:r>
      <w:r w:rsidR="000055A2" w:rsidRPr="002B4A81">
        <w:rPr>
          <w:rFonts w:asciiTheme="majorBidi" w:eastAsia="Calibri" w:hAnsiTheme="majorBidi" w:cstheme="majorBidi"/>
          <w:sz w:val="18"/>
        </w:rPr>
        <w:t xml:space="preserve">. Pappas, G., Roussos, N., &amp; </w:t>
      </w:r>
      <w:proofErr w:type="spellStart"/>
      <w:r w:rsidR="000055A2" w:rsidRPr="002B4A81">
        <w:rPr>
          <w:rFonts w:asciiTheme="majorBidi" w:eastAsia="Calibri" w:hAnsiTheme="majorBidi" w:cstheme="majorBidi"/>
          <w:sz w:val="18"/>
        </w:rPr>
        <w:t>Falagas</w:t>
      </w:r>
      <w:proofErr w:type="spellEnd"/>
      <w:r w:rsidR="000055A2" w:rsidRPr="002B4A81">
        <w:rPr>
          <w:rFonts w:asciiTheme="majorBidi" w:eastAsia="Calibri" w:hAnsiTheme="majorBidi" w:cstheme="majorBidi"/>
          <w:sz w:val="18"/>
        </w:rPr>
        <w:t xml:space="preserve">, M. E. (2009). Toxoplasmosis snapshots: global status of Toxoplasma </w:t>
      </w:r>
      <w:proofErr w:type="spellStart"/>
      <w:r w:rsidR="000055A2" w:rsidRPr="002B4A81">
        <w:rPr>
          <w:rFonts w:asciiTheme="majorBidi" w:eastAsia="Calibri" w:hAnsiTheme="majorBidi" w:cstheme="majorBidi"/>
          <w:sz w:val="18"/>
        </w:rPr>
        <w:t>gondii</w:t>
      </w:r>
      <w:proofErr w:type="spellEnd"/>
      <w:r w:rsidR="000055A2" w:rsidRPr="002B4A81">
        <w:rPr>
          <w:rFonts w:asciiTheme="majorBidi" w:eastAsia="Calibri" w:hAnsiTheme="majorBidi" w:cstheme="majorBidi"/>
          <w:sz w:val="18"/>
        </w:rPr>
        <w:t xml:space="preserve"> </w:t>
      </w:r>
      <w:proofErr w:type="spellStart"/>
      <w:r w:rsidR="000055A2" w:rsidRPr="002B4A81">
        <w:rPr>
          <w:rFonts w:asciiTheme="majorBidi" w:eastAsia="Calibri" w:hAnsiTheme="majorBidi" w:cstheme="majorBidi"/>
          <w:sz w:val="18"/>
        </w:rPr>
        <w:t>seroprevalence</w:t>
      </w:r>
      <w:proofErr w:type="spellEnd"/>
      <w:r w:rsidR="000055A2" w:rsidRPr="002B4A81">
        <w:rPr>
          <w:rFonts w:asciiTheme="majorBidi" w:eastAsia="Calibri" w:hAnsiTheme="majorBidi" w:cstheme="majorBidi"/>
          <w:sz w:val="18"/>
        </w:rPr>
        <w:t xml:space="preserve"> and implications for pregnancy and congenital toxoplasmosis. </w:t>
      </w:r>
      <w:proofErr w:type="spellStart"/>
      <w:r w:rsidR="000055A2" w:rsidRPr="002B4A81">
        <w:rPr>
          <w:rFonts w:asciiTheme="majorBidi" w:eastAsia="Calibri" w:hAnsiTheme="majorBidi" w:cstheme="majorBidi"/>
          <w:sz w:val="18"/>
        </w:rPr>
        <w:t>Int</w:t>
      </w:r>
      <w:proofErr w:type="spellEnd"/>
      <w:r w:rsidR="000055A2" w:rsidRPr="002B4A81">
        <w:rPr>
          <w:rFonts w:asciiTheme="majorBidi" w:eastAsia="Calibri" w:hAnsiTheme="majorBidi" w:cstheme="majorBidi"/>
          <w:sz w:val="18"/>
        </w:rPr>
        <w:t xml:space="preserve"> J </w:t>
      </w:r>
      <w:proofErr w:type="spellStart"/>
      <w:r w:rsidR="000055A2" w:rsidRPr="002B4A81">
        <w:rPr>
          <w:rFonts w:asciiTheme="majorBidi" w:eastAsia="Calibri" w:hAnsiTheme="majorBidi" w:cstheme="majorBidi"/>
          <w:sz w:val="18"/>
        </w:rPr>
        <w:t>Parasitol</w:t>
      </w:r>
      <w:proofErr w:type="spellEnd"/>
      <w:r w:rsidR="000055A2" w:rsidRPr="002B4A81">
        <w:rPr>
          <w:rFonts w:asciiTheme="majorBidi" w:eastAsia="Calibri" w:hAnsiTheme="majorBidi" w:cstheme="majorBidi"/>
          <w:sz w:val="18"/>
        </w:rPr>
        <w:t>, 39(12)</w:t>
      </w:r>
      <w:proofErr w:type="gramStart"/>
      <w:r w:rsidR="000055A2" w:rsidRPr="002B4A81">
        <w:rPr>
          <w:rFonts w:asciiTheme="majorBidi" w:eastAsia="Calibri" w:hAnsiTheme="majorBidi" w:cstheme="majorBidi"/>
          <w:sz w:val="18"/>
        </w:rPr>
        <w:t>,1385</w:t>
      </w:r>
      <w:proofErr w:type="gramEnd"/>
      <w:r w:rsidR="000055A2" w:rsidRPr="002B4A81">
        <w:rPr>
          <w:rFonts w:asciiTheme="majorBidi" w:eastAsia="Calibri" w:hAnsiTheme="majorBidi" w:cstheme="majorBidi"/>
          <w:sz w:val="18"/>
        </w:rPr>
        <w:t>-1394.</w:t>
      </w:r>
    </w:p>
    <w:p w:rsidR="002B4A81" w:rsidRDefault="002B4A81" w:rsidP="002B4A81">
      <w:pPr>
        <w:pStyle w:val="Bibliography"/>
        <w:widowControl/>
        <w:ind w:right="357"/>
        <w:jc w:val="both"/>
        <w:rPr>
          <w:rFonts w:asciiTheme="majorBidi" w:hAnsiTheme="majorBidi" w:cstheme="majorBidi"/>
          <w:noProof/>
          <w:sz w:val="18"/>
          <w:szCs w:val="18"/>
        </w:rPr>
      </w:pPr>
      <w:r>
        <w:rPr>
          <w:rFonts w:asciiTheme="majorBidi" w:eastAsia="Calibri" w:hAnsiTheme="majorBidi" w:cstheme="majorBidi"/>
          <w:sz w:val="18"/>
        </w:rPr>
        <w:t xml:space="preserve">3. </w:t>
      </w:r>
      <w:r w:rsidRPr="002B4A81">
        <w:rPr>
          <w:rFonts w:asciiTheme="majorBidi" w:hAnsiTheme="majorBidi" w:cstheme="majorBidi"/>
          <w:noProof/>
          <w:sz w:val="18"/>
          <w:szCs w:val="18"/>
        </w:rPr>
        <w:t xml:space="preserve">Iqbal, J and Khalid, N. (2007). Detection of acute </w:t>
      </w:r>
      <w:r w:rsidRPr="002B4A81">
        <w:rPr>
          <w:rFonts w:asciiTheme="majorBidi" w:hAnsiTheme="majorBidi" w:cstheme="majorBidi"/>
          <w:i/>
          <w:iCs/>
          <w:noProof/>
          <w:sz w:val="18"/>
          <w:szCs w:val="18"/>
        </w:rPr>
        <w:t>Toxoplasma gondii</w:t>
      </w:r>
      <w:r w:rsidRPr="002B4A81">
        <w:rPr>
          <w:rFonts w:asciiTheme="majorBidi" w:hAnsiTheme="majorBidi" w:cstheme="majorBidi"/>
          <w:noProof/>
          <w:sz w:val="18"/>
          <w:szCs w:val="18"/>
        </w:rPr>
        <w:t xml:space="preserve"> infection in early pregnancy by IgG avidity and PCR analysis. </w:t>
      </w:r>
      <w:r w:rsidRPr="002B4A81">
        <w:rPr>
          <w:rFonts w:asciiTheme="majorBidi" w:hAnsiTheme="majorBidi" w:cstheme="majorBidi"/>
          <w:i/>
          <w:iCs/>
          <w:noProof/>
          <w:sz w:val="18"/>
          <w:szCs w:val="18"/>
        </w:rPr>
        <w:t>Journal of Medical Microbiology</w:t>
      </w:r>
      <w:r w:rsidRPr="002B4A81">
        <w:rPr>
          <w:rFonts w:asciiTheme="majorBidi" w:hAnsiTheme="majorBidi" w:cstheme="majorBidi"/>
          <w:noProof/>
          <w:sz w:val="18"/>
          <w:szCs w:val="18"/>
        </w:rPr>
        <w:t>, 1495–1499.</w:t>
      </w:r>
    </w:p>
    <w:p w:rsidR="002B4A81" w:rsidRPr="002B4A81" w:rsidRDefault="002B4A81" w:rsidP="002B4A81">
      <w:pPr>
        <w:rPr>
          <w:rFonts w:asciiTheme="majorBidi" w:hAnsiTheme="majorBidi" w:cstheme="majorBidi"/>
          <w:sz w:val="18"/>
        </w:rPr>
      </w:pPr>
      <w:r>
        <w:rPr>
          <w:rFonts w:asciiTheme="majorBidi" w:hAnsiTheme="majorBidi" w:cstheme="majorBidi"/>
          <w:sz w:val="18"/>
        </w:rPr>
        <w:t xml:space="preserve">4. </w:t>
      </w:r>
      <w:proofErr w:type="spellStart"/>
      <w:r w:rsidRPr="002B4A81">
        <w:rPr>
          <w:rFonts w:asciiTheme="majorBidi" w:hAnsiTheme="majorBidi" w:cstheme="majorBidi"/>
          <w:sz w:val="18"/>
        </w:rPr>
        <w:t>Alghamdi</w:t>
      </w:r>
      <w:proofErr w:type="spellEnd"/>
      <w:r w:rsidRPr="002B4A81">
        <w:rPr>
          <w:rFonts w:asciiTheme="majorBidi" w:hAnsiTheme="majorBidi" w:cstheme="majorBidi"/>
          <w:sz w:val="18"/>
        </w:rPr>
        <w:t xml:space="preserve">, J., </w:t>
      </w:r>
      <w:proofErr w:type="spellStart"/>
      <w:r w:rsidRPr="002B4A81">
        <w:rPr>
          <w:rFonts w:asciiTheme="majorBidi" w:hAnsiTheme="majorBidi" w:cstheme="majorBidi"/>
          <w:sz w:val="18"/>
        </w:rPr>
        <w:t>Elamin</w:t>
      </w:r>
      <w:proofErr w:type="spellEnd"/>
      <w:r w:rsidRPr="002B4A81">
        <w:rPr>
          <w:rFonts w:asciiTheme="majorBidi" w:hAnsiTheme="majorBidi" w:cstheme="majorBidi"/>
          <w:sz w:val="18"/>
        </w:rPr>
        <w:t xml:space="preserve">, M. H., &amp; </w:t>
      </w:r>
      <w:proofErr w:type="spellStart"/>
      <w:r w:rsidRPr="002B4A81">
        <w:rPr>
          <w:rFonts w:asciiTheme="majorBidi" w:hAnsiTheme="majorBidi" w:cstheme="majorBidi"/>
          <w:sz w:val="18"/>
        </w:rPr>
        <w:t>Alhabib</w:t>
      </w:r>
      <w:proofErr w:type="spellEnd"/>
      <w:r w:rsidRPr="002B4A81">
        <w:rPr>
          <w:rFonts w:asciiTheme="majorBidi" w:hAnsiTheme="majorBidi" w:cstheme="majorBidi"/>
          <w:sz w:val="18"/>
        </w:rPr>
        <w:t xml:space="preserve">, S. (2016). Prevalence and genotyping </w:t>
      </w:r>
      <w:proofErr w:type="spellStart"/>
      <w:r w:rsidRPr="002B4A81">
        <w:rPr>
          <w:rFonts w:asciiTheme="majorBidi" w:hAnsiTheme="majorBidi" w:cstheme="majorBidi"/>
          <w:sz w:val="18"/>
        </w:rPr>
        <w:t>ofToxoplasma</w:t>
      </w:r>
      <w:proofErr w:type="spellEnd"/>
      <w:r w:rsidRPr="002B4A81">
        <w:rPr>
          <w:rFonts w:asciiTheme="majorBidi" w:hAnsiTheme="majorBidi" w:cstheme="majorBidi"/>
          <w:sz w:val="18"/>
        </w:rPr>
        <w:t xml:space="preserve"> </w:t>
      </w:r>
      <w:proofErr w:type="spellStart"/>
      <w:r w:rsidRPr="002B4A81">
        <w:rPr>
          <w:rFonts w:asciiTheme="majorBidi" w:hAnsiTheme="majorBidi" w:cstheme="majorBidi"/>
          <w:sz w:val="18"/>
        </w:rPr>
        <w:t>gondii</w:t>
      </w:r>
      <w:proofErr w:type="spellEnd"/>
      <w:r w:rsidRPr="002B4A81">
        <w:rPr>
          <w:rFonts w:asciiTheme="majorBidi" w:hAnsiTheme="majorBidi" w:cstheme="majorBidi"/>
          <w:sz w:val="18"/>
        </w:rPr>
        <w:t xml:space="preserve"> among Saudi pregnant women in Saudi Arabia. </w:t>
      </w:r>
      <w:r w:rsidRPr="002B4A81">
        <w:rPr>
          <w:rFonts w:asciiTheme="majorBidi" w:hAnsiTheme="majorBidi" w:cstheme="majorBidi"/>
          <w:i/>
          <w:iCs/>
          <w:sz w:val="18"/>
        </w:rPr>
        <w:t>Saudi Pharm J, 24</w:t>
      </w:r>
      <w:r w:rsidRPr="002B4A81">
        <w:rPr>
          <w:rFonts w:asciiTheme="majorBidi" w:hAnsiTheme="majorBidi" w:cstheme="majorBidi"/>
          <w:sz w:val="18"/>
        </w:rPr>
        <w:t>(6), 645-651. doi:10.1016/j.jsps.2015.05.001</w:t>
      </w:r>
    </w:p>
    <w:p w:rsidR="002B4A81" w:rsidRPr="002B4A81" w:rsidRDefault="002B4A81" w:rsidP="002B4A81"/>
    <w:p w:rsidR="002B4A81" w:rsidRPr="002B4A81" w:rsidRDefault="000055A2" w:rsidP="000055A2">
      <w:pPr>
        <w:spacing w:line="200" w:lineRule="exact"/>
        <w:rPr>
          <w:rFonts w:asciiTheme="majorBidi" w:hAnsiTheme="majorBidi" w:cstheme="majorBidi"/>
        </w:rPr>
      </w:pPr>
      <w:r w:rsidRPr="002B4A81">
        <w:rPr>
          <w:rFonts w:asciiTheme="majorBidi" w:eastAsia="Calibri" w:hAnsiTheme="majorBidi" w:cstheme="majorBidi"/>
          <w:sz w:val="18"/>
        </w:rPr>
        <w:t xml:space="preserve"> </w:t>
      </w:r>
      <w:r w:rsidR="008756E6" w:rsidRPr="002B4A81">
        <w:rPr>
          <w:rFonts w:asciiTheme="majorBidi" w:hAnsiTheme="majorBidi" w:cstheme="majorBidi"/>
        </w:rPr>
        <w:t xml:space="preserve"> </w:t>
      </w:r>
    </w:p>
    <w:p w:rsidR="00AE3E37" w:rsidRDefault="008756E6" w:rsidP="000055A2">
      <w:pPr>
        <w:spacing w:line="200"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055A2" w:rsidRDefault="00D62425">
      <w:pPr>
        <w:pStyle w:val="BodyText"/>
        <w:rPr>
          <w:rFonts w:ascii="Calibri"/>
          <w:sz w:val="20"/>
        </w:rPr>
      </w:pPr>
      <w:r>
        <w:rPr>
          <w:rFonts w:ascii="Calibri"/>
          <w:sz w:val="20"/>
        </w:rPr>
        <w:t xml:space="preserve">                </w:t>
      </w:r>
    </w:p>
    <w:p w:rsidR="000055A2" w:rsidRDefault="000055A2">
      <w:pPr>
        <w:pStyle w:val="BodyText"/>
        <w:rPr>
          <w:rFonts w:ascii="Calibri"/>
          <w:sz w:val="20"/>
        </w:rPr>
      </w:pP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5915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B4A81" w:rsidRPr="00956807">
        <w:rPr>
          <w:rFonts w:ascii="Times New Roman" w:hAnsi="Times New Roman" w:cs="Times New Roman"/>
          <w:bCs/>
          <w:noProof/>
          <w:sz w:val="20"/>
          <w:szCs w:val="20"/>
        </w:rPr>
        <w:drawing>
          <wp:inline distT="0" distB="0" distL="0" distR="0" wp14:anchorId="09206FD1" wp14:editId="3C6E5E06">
            <wp:extent cx="1238250" cy="1400175"/>
            <wp:effectExtent l="0" t="0" r="0" b="9525"/>
            <wp:docPr id="4" name="Picture 4" descr="C:\Users\iqbal\Desktop\pic\16.1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qbal\Desktop\pic\16.10.1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2664" cy="140516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B4A81" w:rsidRPr="00D15228" w:rsidRDefault="002B4A81" w:rsidP="002B4A81">
      <w:pPr>
        <w:autoSpaceDE w:val="0"/>
        <w:autoSpaceDN w:val="0"/>
        <w:adjustRightInd w:val="0"/>
        <w:rPr>
          <w:rFonts w:ascii="Times New Roman" w:hAnsi="Times New Roman" w:cs="Times New Roman"/>
        </w:rPr>
      </w:pPr>
      <w:r>
        <w:rPr>
          <w:rFonts w:ascii="Times New Roman" w:hAnsi="Times New Roman" w:cs="Times New Roman"/>
        </w:rPr>
        <w:t xml:space="preserve">Dr. Iqbal studied at Q.E Medical College, Pakistan, Masters from Birmingham University, UK, PhD from Stockholm University and </w:t>
      </w:r>
      <w:proofErr w:type="spellStart"/>
      <w:r>
        <w:rPr>
          <w:rFonts w:ascii="Times New Roman" w:hAnsi="Times New Roman" w:cs="Times New Roman"/>
        </w:rPr>
        <w:t>FRCPath</w:t>
      </w:r>
      <w:proofErr w:type="spellEnd"/>
      <w:r>
        <w:rPr>
          <w:rFonts w:ascii="Times New Roman" w:hAnsi="Times New Roman" w:cs="Times New Roman"/>
        </w:rPr>
        <w:t xml:space="preserve"> from Royal College of Pathologists, London. Dr. Iqbal has worked at Pasteur Institute, Paris; as consultant with WHO and currently at the Faculty of Medicine, Kuwait University, Kuwait. His main research interests are Toxoplasmosis, Malaria and </w:t>
      </w:r>
      <w:proofErr w:type="spellStart"/>
      <w:r>
        <w:rPr>
          <w:rFonts w:ascii="Times New Roman" w:hAnsi="Times New Roman" w:cs="Times New Roman"/>
        </w:rPr>
        <w:t>Cryptosporodiosis</w:t>
      </w:r>
      <w:proofErr w:type="spellEnd"/>
      <w:r>
        <w:rPr>
          <w:rFonts w:ascii="Times New Roman" w:hAnsi="Times New Roman" w:cs="Times New Roman"/>
        </w:rPr>
        <w:t>. He has published more than 70 research articles International Journals.</w:t>
      </w:r>
    </w:p>
    <w:p w:rsidR="00AE3E37" w:rsidRPr="002B4A81" w:rsidRDefault="002B4A81" w:rsidP="002B4A81">
      <w:pPr>
        <w:spacing w:before="62"/>
        <w:ind w:right="4235"/>
        <w:rPr>
          <w:rFonts w:ascii="Arial"/>
          <w:sz w:val="24"/>
          <w:szCs w:val="24"/>
        </w:rPr>
      </w:pPr>
      <w:r>
        <w:rPr>
          <w:rFonts w:ascii="Arial"/>
          <w:sz w:val="24"/>
          <w:szCs w:val="24"/>
        </w:rPr>
        <w:t xml:space="preserve">                                          </w:t>
      </w:r>
      <w:r w:rsidR="00A9710C" w:rsidRPr="002B4A81">
        <w:rPr>
          <w:rFonts w:ascii="Arial"/>
          <w:sz w:val="24"/>
          <w:szCs w:val="24"/>
        </w:rPr>
        <w:t xml:space="preserve">Email: </w:t>
      </w:r>
      <w:r w:rsidRPr="002B4A81">
        <w:rPr>
          <w:rFonts w:ascii="Arial"/>
          <w:sz w:val="24"/>
          <w:szCs w:val="24"/>
        </w:rPr>
        <w:t>IQBAL@HSC.EDU.KW</w:t>
      </w:r>
      <w:r w:rsidR="00292ED9" w:rsidRPr="002B4A81">
        <w:rPr>
          <w:noProof/>
          <w:sz w:val="24"/>
          <w:szCs w:val="24"/>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D136C"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E01" w:rsidRDefault="008E7E01">
      <w:r>
        <w:separator/>
      </w:r>
    </w:p>
  </w:endnote>
  <w:endnote w:type="continuationSeparator" w:id="0">
    <w:p w:rsidR="008E7E01" w:rsidRDefault="008E7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E01" w:rsidRDefault="008E7E01">
      <w:r>
        <w:separator/>
      </w:r>
    </w:p>
  </w:footnote>
  <w:footnote w:type="continuationSeparator" w:id="0">
    <w:p w:rsidR="008E7E01" w:rsidRDefault="008E7E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230AC"/>
    <w:multiLevelType w:val="hybridMultilevel"/>
    <w:tmpl w:val="F796D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5A2"/>
    <w:rsid w:val="000E2911"/>
    <w:rsid w:val="001263DF"/>
    <w:rsid w:val="001E763C"/>
    <w:rsid w:val="00292ED9"/>
    <w:rsid w:val="002B4A81"/>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E7E01"/>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F4B938-9E86-4017-9B9B-C8079268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next w:val="Normal"/>
    <w:rsid w:val="000055A2"/>
    <w:pPr>
      <w:framePr w:w="9072" w:hSpace="187" w:vSpace="187" w:wrap="notBeside" w:vAnchor="text" w:hAnchor="page" w:xAlign="center" w:y="1"/>
      <w:widowControl/>
      <w:autoSpaceDE w:val="0"/>
      <w:autoSpaceDN w:val="0"/>
      <w:spacing w:after="320"/>
      <w:jc w:val="center"/>
    </w:pPr>
    <w:rPr>
      <w:rFonts w:ascii="Times New Roman" w:eastAsia="PMingLiU" w:hAnsi="Times New Roman" w:cs="Times New Roman"/>
    </w:rPr>
  </w:style>
  <w:style w:type="character" w:styleId="Strong">
    <w:name w:val="Strong"/>
    <w:uiPriority w:val="22"/>
    <w:qFormat/>
    <w:rsid w:val="000055A2"/>
    <w:rPr>
      <w:b/>
      <w:bCs/>
    </w:rPr>
  </w:style>
  <w:style w:type="paragraph" w:styleId="Bibliography">
    <w:name w:val="Bibliography"/>
    <w:basedOn w:val="Normal"/>
    <w:next w:val="Normal"/>
    <w:uiPriority w:val="37"/>
    <w:semiHidden/>
    <w:unhideWhenUsed/>
    <w:rsid w:val="002B4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24155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Jamshaid Iqbal</cp:lastModifiedBy>
  <cp:revision>2</cp:revision>
  <dcterms:created xsi:type="dcterms:W3CDTF">2019-04-28T08:21:00Z</dcterms:created>
  <dcterms:modified xsi:type="dcterms:W3CDTF">2019-04-28T08:21:00Z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