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C7AC4" w14:textId="77777777" w:rsidR="00B36F34" w:rsidRPr="002E50AE" w:rsidRDefault="00B36F34" w:rsidP="002E50AE">
      <w:pPr>
        <w:rPr>
          <w:rFonts w:ascii="Times New Roman" w:hAnsi="Times New Roman" w:cs="Times New Roman"/>
          <w:b/>
          <w:sz w:val="28"/>
          <w:szCs w:val="28"/>
        </w:rPr>
      </w:pPr>
      <w:r w:rsidRPr="00D20764">
        <w:rPr>
          <w:rFonts w:ascii="Minion Pro" w:hAnsi="Minion Pro" w:cs="Times New Roman"/>
          <w:b/>
          <w:color w:val="17365D" w:themeColor="text2" w:themeShade="BF"/>
          <w:sz w:val="28"/>
          <w:szCs w:val="28"/>
        </w:rPr>
        <w:t>Title: Incidence and Cost of Needlestick and Splash Injuries in the Philippine General Hospital</w:t>
      </w:r>
    </w:p>
    <w:p w14:paraId="6BDEB693" w14:textId="77777777" w:rsidR="00B36F34" w:rsidRPr="00D20764" w:rsidRDefault="00B36F34" w:rsidP="00B36F34">
      <w:pPr>
        <w:jc w:val="center"/>
        <w:rPr>
          <w:rFonts w:ascii="Times New Roman" w:hAnsi="Times New Roman" w:cs="Times New Roman"/>
          <w:color w:val="17365D" w:themeColor="text2" w:themeShade="BF"/>
          <w:sz w:val="20"/>
          <w:szCs w:val="20"/>
        </w:rPr>
      </w:pPr>
    </w:p>
    <w:p w14:paraId="5A0F0B87" w14:textId="77777777" w:rsidR="00B36F34" w:rsidRPr="00180E9C" w:rsidRDefault="00B36F34" w:rsidP="00B36F34">
      <w:pPr>
        <w:jc w:val="center"/>
        <w:rPr>
          <w:rFonts w:ascii="Arial" w:hAnsi="Arial" w:cs="Arial"/>
          <w:sz w:val="18"/>
        </w:rPr>
      </w:pPr>
      <w:r w:rsidRPr="00180E9C">
        <w:rPr>
          <w:rFonts w:ascii="Arial" w:hAnsi="Arial" w:cs="Arial"/>
          <w:sz w:val="18"/>
        </w:rPr>
        <w:t>Cruz, Enrick Joshua M.; Arcellana, Anna Elvira S.; Borromeo, Krisha Mae C.; Berba, Regina P.</w:t>
      </w:r>
    </w:p>
    <w:p w14:paraId="0E3A2A10" w14:textId="77777777" w:rsidR="00B36F34" w:rsidRPr="00180E9C" w:rsidRDefault="00B36F34" w:rsidP="00B36F34">
      <w:pPr>
        <w:jc w:val="center"/>
        <w:rPr>
          <w:rFonts w:ascii="Arial" w:hAnsi="Arial" w:cs="Arial"/>
          <w:sz w:val="18"/>
        </w:rPr>
      </w:pPr>
      <w:r w:rsidRPr="00180E9C">
        <w:rPr>
          <w:rFonts w:ascii="Arial" w:hAnsi="Arial" w:cs="Arial"/>
          <w:sz w:val="18"/>
        </w:rPr>
        <w:t xml:space="preserve">University of the Philippines - Philippine General Hospital </w:t>
      </w:r>
    </w:p>
    <w:p w14:paraId="686C707E" w14:textId="77777777" w:rsidR="00B36F34" w:rsidRPr="00180E9C" w:rsidRDefault="00B36F34" w:rsidP="00B36F34">
      <w:pPr>
        <w:jc w:val="center"/>
        <w:rPr>
          <w:rFonts w:ascii="Arial" w:hAnsi="Arial" w:cs="Arial"/>
          <w:b/>
          <w:sz w:val="18"/>
          <w:u w:val="single"/>
        </w:rPr>
      </w:pPr>
      <w:r w:rsidRPr="00180E9C">
        <w:rPr>
          <w:rFonts w:ascii="Arial" w:hAnsi="Arial" w:cs="Arial"/>
          <w:sz w:val="18"/>
        </w:rPr>
        <w:t>Taft Avenue Ermita Manila, Philippines 1000</w:t>
      </w:r>
    </w:p>
    <w:p w14:paraId="232472F5" w14:textId="77777777" w:rsidR="00B36F34" w:rsidRPr="00343940" w:rsidRDefault="00B36F34" w:rsidP="00B36F34">
      <w:pPr>
        <w:ind w:firstLine="720"/>
        <w:jc w:val="both"/>
        <w:rPr>
          <w:rFonts w:ascii="Times New Roman" w:eastAsia="Times New Roman" w:hAnsi="Times New Roman" w:cs="Times New Roman"/>
          <w:color w:val="000000"/>
        </w:rPr>
      </w:pPr>
    </w:p>
    <w:p w14:paraId="485AEB08" w14:textId="77777777" w:rsidR="00B36F34" w:rsidRPr="00D20764" w:rsidRDefault="00B36F34" w:rsidP="00B36F34">
      <w:pPr>
        <w:ind w:firstLine="720"/>
        <w:jc w:val="center"/>
        <w:rPr>
          <w:rFonts w:ascii="Arial" w:eastAsia="Times New Roman" w:hAnsi="Arial" w:cs="Arial"/>
          <w:b/>
          <w:color w:val="C0504D" w:themeColor="accent2"/>
          <w:sz w:val="20"/>
        </w:rPr>
      </w:pPr>
      <w:r w:rsidRPr="00D20764">
        <w:rPr>
          <w:rFonts w:ascii="Arial" w:eastAsia="Times New Roman" w:hAnsi="Arial" w:cs="Arial"/>
          <w:b/>
          <w:color w:val="C0504D" w:themeColor="accent2"/>
          <w:sz w:val="20"/>
        </w:rPr>
        <w:t>Abstract</w:t>
      </w:r>
    </w:p>
    <w:p w14:paraId="62F77D6D" w14:textId="77777777" w:rsidR="00B36F34" w:rsidRPr="00180E9C" w:rsidRDefault="00B36F34" w:rsidP="00B36F34">
      <w:pPr>
        <w:ind w:firstLine="720"/>
        <w:jc w:val="both"/>
        <w:rPr>
          <w:rFonts w:ascii="Times New Roman" w:eastAsia="Times New Roman" w:hAnsi="Times New Roman" w:cs="Times New Roman"/>
          <w:b/>
          <w:color w:val="000000"/>
        </w:rPr>
      </w:pPr>
    </w:p>
    <w:p w14:paraId="4B93B18A" w14:textId="77777777" w:rsidR="00B36F34" w:rsidRPr="00D20764" w:rsidRDefault="00B36F34" w:rsidP="00B36F34">
      <w:pPr>
        <w:ind w:firstLine="720"/>
        <w:jc w:val="both"/>
        <w:rPr>
          <w:rFonts w:ascii="Tw Cen MT" w:eastAsia="Times New Roman" w:hAnsi="Tw Cen MT" w:cs="Times New Roman"/>
          <w:sz w:val="18"/>
        </w:rPr>
      </w:pPr>
      <w:r w:rsidRPr="00D20764">
        <w:rPr>
          <w:rFonts w:ascii="Tw Cen MT" w:eastAsia="Times New Roman" w:hAnsi="Tw Cen MT" w:cs="Times New Roman"/>
          <w:color w:val="000000"/>
          <w:sz w:val="18"/>
        </w:rPr>
        <w:t>Needlestick and splash injuries (NSI) comprise prevailing hazard in the workplace and pose risk of transmitting bloodborne diseases such as Hepatitis B, C, and HIV, to vulnerable healthcare workers.</w:t>
      </w:r>
      <w:r w:rsidRPr="00D20764">
        <w:rPr>
          <w:rFonts w:ascii="Tw Cen MT" w:eastAsia="Times New Roman" w:hAnsi="Tw Cen MT" w:cs="Times New Roman"/>
          <w:sz w:val="18"/>
        </w:rPr>
        <w:tab/>
      </w:r>
      <w:r w:rsidRPr="00D20764">
        <w:rPr>
          <w:rFonts w:ascii="Tw Cen MT" w:eastAsia="Times New Roman" w:hAnsi="Tw Cen MT" w:cs="Times New Roman"/>
          <w:color w:val="000000"/>
          <w:sz w:val="18"/>
        </w:rPr>
        <w:t>This research is a descriptive study on the incidence and economic cost of NSI at the Philippine General Hospital. The objectives of the study were to describe the clinical profile of the injured healthcare workers, to determine the number of positive seroconversion for Hepatitis B, C and HIV and to quantify the costs incurred from the injury. This study was a retrospective data review of NSI reports filed at the Hospital Infection Control Unit of the Philippine General Hospital from January 2011 to December 2017.</w:t>
      </w:r>
    </w:p>
    <w:p w14:paraId="7C0EC708" w14:textId="77777777" w:rsidR="00B36F34" w:rsidRPr="00D20764" w:rsidRDefault="00B36F34" w:rsidP="00B36F34">
      <w:pPr>
        <w:ind w:firstLine="720"/>
        <w:jc w:val="both"/>
        <w:rPr>
          <w:rFonts w:ascii="Tw Cen MT" w:eastAsia="Times New Roman" w:hAnsi="Tw Cen MT" w:cs="Times New Roman"/>
          <w:sz w:val="18"/>
        </w:rPr>
      </w:pPr>
      <w:r w:rsidRPr="00D20764">
        <w:rPr>
          <w:rFonts w:ascii="Tw Cen MT" w:eastAsia="Times New Roman" w:hAnsi="Tw Cen MT" w:cs="Times New Roman"/>
          <w:color w:val="000000"/>
          <w:sz w:val="18"/>
        </w:rPr>
        <w:t>Results showed that there was 1,468 reported needlestick injuries for seven years, averaging 209 injuries per year. The injured workers were mostly female, with a ratio of 3:1 females to males, belonging to the young age group (20-25 years old). Clerks and interns comprise 47.4% of the injured individuals. Most of the injuries occur in the operating room, wards and the emergency room. during surgical procedures, blood extraction, IV cannulation and recapping of syringes. A significant proportion of injured HCWs did not observe standard precautions such as wearing gloves, mask, or gown, at the time when the injury occured- as high as 49.2 %. Most of the injured HCWs reported the injury promptly, 70.8% reported within 24 hours of the injury. The vaccination status of most injured individuals (83.9%) were updated and complete. The cost of ideal diagnostic and therapeutic interventions for needlestick injuries from 2011-2017 is as much as Php 1,120,649.00 for the years analyzed.</w:t>
      </w:r>
      <w:r w:rsidRPr="00D20764">
        <w:rPr>
          <w:rFonts w:ascii="Tw Cen MT" w:eastAsia="Times New Roman" w:hAnsi="Tw Cen MT" w:cs="Times New Roman"/>
          <w:sz w:val="18"/>
        </w:rPr>
        <w:t xml:space="preserve"> </w:t>
      </w:r>
      <w:r w:rsidRPr="00D20764">
        <w:rPr>
          <w:rFonts w:ascii="Tw Cen MT" w:eastAsia="Times New Roman" w:hAnsi="Tw Cen MT" w:cs="Times New Roman"/>
          <w:sz w:val="18"/>
        </w:rPr>
        <w:tab/>
      </w:r>
      <w:r w:rsidRPr="00D20764">
        <w:rPr>
          <w:rFonts w:ascii="Tw Cen MT" w:eastAsia="Times New Roman" w:hAnsi="Tw Cen MT" w:cs="Times New Roman"/>
          <w:sz w:val="18"/>
        </w:rPr>
        <w:tab/>
      </w:r>
      <w:r w:rsidRPr="00D20764">
        <w:rPr>
          <w:rFonts w:ascii="Tw Cen MT" w:eastAsia="Times New Roman" w:hAnsi="Tw Cen MT" w:cs="Times New Roman"/>
          <w:sz w:val="18"/>
        </w:rPr>
        <w:tab/>
      </w:r>
      <w:r w:rsidRPr="00D20764">
        <w:rPr>
          <w:rFonts w:ascii="Tw Cen MT" w:eastAsia="Times New Roman" w:hAnsi="Tw Cen MT" w:cs="Times New Roman"/>
          <w:sz w:val="18"/>
        </w:rPr>
        <w:tab/>
      </w:r>
      <w:r w:rsidRPr="00D20764">
        <w:rPr>
          <w:rFonts w:ascii="Tw Cen MT" w:eastAsia="Times New Roman" w:hAnsi="Tw Cen MT" w:cs="Times New Roman"/>
          <w:sz w:val="18"/>
        </w:rPr>
        <w:tab/>
      </w:r>
      <w:r w:rsidRPr="00D20764">
        <w:rPr>
          <w:rFonts w:ascii="Tw Cen MT" w:eastAsia="Times New Roman" w:hAnsi="Tw Cen MT" w:cs="Times New Roman"/>
          <w:color w:val="000000"/>
          <w:sz w:val="18"/>
        </w:rPr>
        <w:t>This research underscores the importance of addressing needlestick injuries as a threat to the welfare of healthcare workers through the implementation of sustainable and cost-effective preventive strategies.</w:t>
      </w:r>
    </w:p>
    <w:p w14:paraId="5DF67E2F" w14:textId="77777777" w:rsidR="00B36F34" w:rsidRPr="00D20764" w:rsidRDefault="00B36F34" w:rsidP="00B36F34">
      <w:pPr>
        <w:spacing w:after="100" w:afterAutospacing="1"/>
        <w:rPr>
          <w:rFonts w:ascii="Tw Cen MT" w:hAnsi="Tw Cen MT" w:cs="Times New Roman"/>
        </w:rPr>
      </w:pPr>
    </w:p>
    <w:p w14:paraId="5453A9B7" w14:textId="77777777" w:rsidR="00B36F34" w:rsidRDefault="00B36F34" w:rsidP="00B36F34">
      <w:pPr>
        <w:spacing w:after="100" w:afterAutospacing="1"/>
        <w:rPr>
          <w:rFonts w:ascii="Arial" w:hAnsi="Arial" w:cs="Arial"/>
          <w:b/>
          <w:color w:val="C0504D" w:themeColor="accent2"/>
          <w:sz w:val="20"/>
        </w:rPr>
      </w:pPr>
      <w:r w:rsidRPr="00D20764">
        <w:rPr>
          <w:rFonts w:ascii="Arial" w:hAnsi="Arial" w:cs="Arial"/>
          <w:b/>
          <w:color w:val="C0504D" w:themeColor="accent2"/>
          <w:sz w:val="20"/>
        </w:rPr>
        <w:t>Recent Publications</w:t>
      </w:r>
    </w:p>
    <w:p w14:paraId="28A2A6C0" w14:textId="77777777" w:rsidR="00B36F34" w:rsidRPr="007C0753" w:rsidRDefault="00B36F34" w:rsidP="00B36F34">
      <w:pPr>
        <w:widowControl w:val="0"/>
        <w:ind w:left="720" w:hanging="720"/>
        <w:jc w:val="both"/>
        <w:rPr>
          <w:rFonts w:ascii="Arial" w:hAnsi="Arial" w:cs="Arial"/>
          <w:sz w:val="22"/>
          <w:szCs w:val="22"/>
        </w:rPr>
      </w:pPr>
    </w:p>
    <w:p w14:paraId="02E3E25B" w14:textId="77777777" w:rsidR="00B36F34" w:rsidRPr="00D20764" w:rsidRDefault="00B36F34" w:rsidP="00B36F34">
      <w:pPr>
        <w:widowControl w:val="0"/>
        <w:tabs>
          <w:tab w:val="left" w:pos="8100"/>
        </w:tabs>
        <w:ind w:left="360" w:hanging="360"/>
        <w:jc w:val="both"/>
        <w:rPr>
          <w:rFonts w:ascii="Calibri" w:hAnsi="Calibri" w:cs="Arial"/>
          <w:sz w:val="18"/>
          <w:szCs w:val="22"/>
        </w:rPr>
      </w:pPr>
      <w:r w:rsidRPr="00D20764">
        <w:rPr>
          <w:rFonts w:ascii="Calibri" w:hAnsi="Calibri" w:cs="Arial"/>
          <w:sz w:val="18"/>
          <w:szCs w:val="22"/>
        </w:rPr>
        <w:t>Bartenschlager, R. &amp; Buhler, S. (2008). Hepatits C. In B. Mahy &amp; M. Van Regenmortel. (2010). Desk Encyclopedia of Human and Medical Virology. Spain: Elsevier Ltd.</w:t>
      </w:r>
    </w:p>
    <w:p w14:paraId="7B6F5EEC" w14:textId="77777777" w:rsidR="00B36F34" w:rsidRPr="00D20764" w:rsidRDefault="00B36F34" w:rsidP="00B36F34">
      <w:pPr>
        <w:widowControl w:val="0"/>
        <w:ind w:left="720" w:hanging="720"/>
        <w:rPr>
          <w:rFonts w:ascii="Calibri" w:hAnsi="Calibri" w:cs="Arial"/>
          <w:sz w:val="18"/>
          <w:szCs w:val="22"/>
        </w:rPr>
      </w:pPr>
    </w:p>
    <w:p w14:paraId="7A9987D5" w14:textId="77777777" w:rsidR="00B36F34" w:rsidRPr="00D20764" w:rsidRDefault="00B36F34" w:rsidP="00B36F34">
      <w:pPr>
        <w:ind w:left="720" w:hanging="720"/>
        <w:jc w:val="both"/>
        <w:rPr>
          <w:rFonts w:ascii="Calibri" w:hAnsi="Calibri" w:cs="Arial"/>
          <w:sz w:val="18"/>
          <w:szCs w:val="22"/>
        </w:rPr>
      </w:pPr>
      <w:r w:rsidRPr="00D20764">
        <w:rPr>
          <w:rFonts w:ascii="Calibri" w:hAnsi="Calibri" w:cs="Arial"/>
          <w:sz w:val="18"/>
          <w:szCs w:val="22"/>
        </w:rPr>
        <w:t xml:space="preserve">Centers for Disease Control and Prevention. (2001). Updated U.S. public health service guidelines for the management of occupational exposures to HBV, HCV, and HIV and recommendations for post-exposure prophylaxis. </w:t>
      </w:r>
      <w:r w:rsidRPr="00D20764">
        <w:rPr>
          <w:rFonts w:ascii="Calibri" w:hAnsi="Calibri" w:cs="Arial"/>
          <w:i/>
          <w:sz w:val="18"/>
          <w:szCs w:val="22"/>
        </w:rPr>
        <w:t>MMWR Recomm Rep</w:t>
      </w:r>
      <w:r w:rsidRPr="00D20764">
        <w:rPr>
          <w:rFonts w:ascii="Calibri" w:hAnsi="Calibri" w:cs="Arial"/>
          <w:sz w:val="18"/>
          <w:szCs w:val="22"/>
        </w:rPr>
        <w:t xml:space="preserve">, </w:t>
      </w:r>
      <w:r w:rsidRPr="00D20764">
        <w:rPr>
          <w:rFonts w:ascii="Calibri" w:hAnsi="Calibri" w:cs="Arial"/>
          <w:i/>
          <w:sz w:val="18"/>
          <w:szCs w:val="22"/>
        </w:rPr>
        <w:t>50(RR-11).</w:t>
      </w:r>
    </w:p>
    <w:p w14:paraId="6EFCF023" w14:textId="77777777" w:rsidR="00B36F34" w:rsidRPr="00D20764" w:rsidRDefault="00B36F34" w:rsidP="00B36F34">
      <w:pPr>
        <w:widowControl w:val="0"/>
        <w:rPr>
          <w:rFonts w:ascii="Calibri" w:hAnsi="Calibri" w:cs="Arial"/>
          <w:sz w:val="18"/>
          <w:szCs w:val="22"/>
        </w:rPr>
      </w:pPr>
    </w:p>
    <w:p w14:paraId="78954EFF" w14:textId="77777777" w:rsidR="00B36F34" w:rsidRPr="00D20764" w:rsidRDefault="00B36F34" w:rsidP="00B36F34">
      <w:pPr>
        <w:widowControl w:val="0"/>
        <w:ind w:left="720" w:hanging="720"/>
        <w:rPr>
          <w:rFonts w:ascii="Calibri" w:hAnsi="Calibri" w:cs="Arial"/>
          <w:sz w:val="18"/>
          <w:szCs w:val="22"/>
        </w:rPr>
      </w:pPr>
      <w:r w:rsidRPr="00D20764">
        <w:rPr>
          <w:rFonts w:ascii="Calibri" w:hAnsi="Calibri" w:cs="Arial"/>
          <w:sz w:val="18"/>
          <w:szCs w:val="22"/>
        </w:rPr>
        <w:t>Health Protection Agency Centre for Infections, National Public Health Service for Wales &amp; CDSC Northern Ireland and Health Protection Scotland (2008). Eye of the Needle. United Kingdom surveillance of significant occupational exposures to bloodborne viruses in healthcare workers.</w:t>
      </w:r>
    </w:p>
    <w:p w14:paraId="13047637" w14:textId="77777777" w:rsidR="00B36F34" w:rsidRPr="00D20764" w:rsidRDefault="00B36F34" w:rsidP="00B36F34">
      <w:pPr>
        <w:widowControl w:val="0"/>
        <w:ind w:left="720" w:hanging="720"/>
        <w:rPr>
          <w:rFonts w:ascii="Calibri" w:hAnsi="Calibri" w:cs="Arial"/>
          <w:sz w:val="18"/>
          <w:szCs w:val="22"/>
        </w:rPr>
      </w:pPr>
    </w:p>
    <w:p w14:paraId="2D37CCE9" w14:textId="77777777" w:rsidR="00B36F34" w:rsidRPr="00D20764" w:rsidRDefault="00B36F34" w:rsidP="00B36F34">
      <w:pPr>
        <w:widowControl w:val="0"/>
        <w:ind w:left="720" w:hanging="720"/>
        <w:rPr>
          <w:rFonts w:ascii="Calibri" w:hAnsi="Calibri" w:cs="Arial"/>
          <w:sz w:val="18"/>
          <w:szCs w:val="22"/>
        </w:rPr>
      </w:pPr>
      <w:r w:rsidRPr="00D20764">
        <w:rPr>
          <w:rFonts w:ascii="Calibri" w:hAnsi="Calibri" w:cs="Arial"/>
          <w:sz w:val="18"/>
          <w:szCs w:val="22"/>
        </w:rPr>
        <w:t>Lamontagne, F., Abiteboul, D., Lolom, I., Pellissier, G., Tarantola, A., Descamps, J.M. &amp; Bouvet, E. (2007). Role of Safety</w:t>
      </w:r>
      <w:r w:rsidRPr="00D20764">
        <w:rPr>
          <w:rFonts w:ascii="Calibri" w:hAnsi="Calibri" w:cs="Palatino Linotype"/>
          <w:sz w:val="18"/>
          <w:szCs w:val="22"/>
        </w:rPr>
        <w:t>‐</w:t>
      </w:r>
      <w:r w:rsidRPr="00D20764">
        <w:rPr>
          <w:rFonts w:ascii="Calibri" w:hAnsi="Calibri" w:cs="Arial"/>
          <w:sz w:val="18"/>
          <w:szCs w:val="22"/>
        </w:rPr>
        <w:t xml:space="preserve">Engineered Devices in Preventing Needlestick Injuries in 32 French Hospitals. Infection </w:t>
      </w:r>
      <w:r w:rsidRPr="00D20764">
        <w:rPr>
          <w:rFonts w:ascii="Calibri" w:hAnsi="Calibri" w:cs="Arial"/>
          <w:i/>
          <w:sz w:val="18"/>
          <w:szCs w:val="22"/>
        </w:rPr>
        <w:t xml:space="preserve">Control and Hospital Epidemiology, 28 (1), </w:t>
      </w:r>
      <w:r w:rsidRPr="00D20764">
        <w:rPr>
          <w:rFonts w:ascii="Calibri" w:hAnsi="Calibri" w:cs="Arial"/>
          <w:sz w:val="18"/>
          <w:szCs w:val="22"/>
        </w:rPr>
        <w:t>18-23.</w:t>
      </w:r>
      <w:r w:rsidRPr="00D20764">
        <w:rPr>
          <w:rFonts w:ascii="Calibri" w:hAnsi="Calibri" w:cs="Arial"/>
          <w:sz w:val="18"/>
          <w:szCs w:val="22"/>
        </w:rPr>
        <w:tab/>
      </w:r>
    </w:p>
    <w:p w14:paraId="50BCD192" w14:textId="77777777" w:rsidR="00B36F34" w:rsidRPr="00D20764" w:rsidRDefault="00B36F34" w:rsidP="00B36F34">
      <w:pPr>
        <w:widowControl w:val="0"/>
        <w:ind w:left="720" w:hanging="720"/>
        <w:rPr>
          <w:rFonts w:ascii="Calibri" w:hAnsi="Calibri" w:cs="Arial"/>
          <w:sz w:val="18"/>
          <w:szCs w:val="22"/>
        </w:rPr>
      </w:pPr>
    </w:p>
    <w:p w14:paraId="76C0C074" w14:textId="77777777" w:rsidR="00B36F34" w:rsidRPr="00D20764" w:rsidRDefault="00B36F34" w:rsidP="00B36F34">
      <w:pPr>
        <w:widowControl w:val="0"/>
        <w:tabs>
          <w:tab w:val="left" w:pos="8100"/>
        </w:tabs>
        <w:ind w:left="360" w:hanging="360"/>
        <w:jc w:val="both"/>
        <w:rPr>
          <w:rFonts w:ascii="Calibri" w:hAnsi="Calibri" w:cs="Arial"/>
          <w:sz w:val="18"/>
          <w:szCs w:val="22"/>
        </w:rPr>
      </w:pPr>
      <w:r w:rsidRPr="00D20764">
        <w:rPr>
          <w:rFonts w:ascii="Calibri" w:hAnsi="Calibri" w:cs="Arial"/>
          <w:sz w:val="18"/>
          <w:szCs w:val="22"/>
        </w:rPr>
        <w:t>Mahy, B. &amp; Van Regenmortel, M. (2010). Desk encyclopedia of human and medical virology. Spain: Elsevier, Ltd.</w:t>
      </w:r>
    </w:p>
    <w:p w14:paraId="5BA409FD" w14:textId="77777777" w:rsidR="00B36F34" w:rsidRPr="00D20764" w:rsidRDefault="00B36F34" w:rsidP="00B36F34">
      <w:pPr>
        <w:widowControl w:val="0"/>
        <w:ind w:left="720" w:hanging="720"/>
        <w:rPr>
          <w:rFonts w:ascii="Calibri" w:hAnsi="Calibri" w:cs="Arial"/>
          <w:sz w:val="18"/>
          <w:szCs w:val="22"/>
        </w:rPr>
      </w:pPr>
    </w:p>
    <w:p w14:paraId="3F2025D2" w14:textId="77777777" w:rsidR="00B36F34" w:rsidRPr="00D20764" w:rsidRDefault="00B36F34" w:rsidP="00B36F34">
      <w:pPr>
        <w:widowControl w:val="0"/>
        <w:ind w:left="720" w:hanging="720"/>
        <w:rPr>
          <w:rFonts w:ascii="Calibri" w:hAnsi="Calibri" w:cs="Arial"/>
          <w:sz w:val="18"/>
          <w:szCs w:val="22"/>
        </w:rPr>
      </w:pPr>
      <w:r w:rsidRPr="00D20764">
        <w:rPr>
          <w:rFonts w:ascii="Calibri" w:hAnsi="Calibri" w:cs="Arial"/>
          <w:sz w:val="18"/>
          <w:szCs w:val="22"/>
        </w:rPr>
        <w:t>Pavithran, V.K., Murali, R., Krishna M., Shamala, A., Yalamalli M., Kumar A.V. (2015) Knowledge, Attitude and Practice of Needle Stick and Sharps Injuries Among Health Professionals of Bangalore, India. JISPCD, 5(5): 406-412</w:t>
      </w:r>
    </w:p>
    <w:p w14:paraId="4F57CD3E" w14:textId="77777777" w:rsidR="00B36F34" w:rsidRPr="00D20764" w:rsidRDefault="00B36F34" w:rsidP="00B36F34">
      <w:pPr>
        <w:widowControl w:val="0"/>
        <w:ind w:left="720" w:hanging="720"/>
        <w:rPr>
          <w:rFonts w:ascii="Calibri" w:hAnsi="Calibri" w:cs="Arial"/>
          <w:sz w:val="18"/>
          <w:szCs w:val="22"/>
        </w:rPr>
      </w:pPr>
    </w:p>
    <w:p w14:paraId="7669A933" w14:textId="77777777" w:rsidR="00B36F34" w:rsidRPr="00D20764" w:rsidRDefault="00B36F34" w:rsidP="00B36F34">
      <w:pPr>
        <w:widowControl w:val="0"/>
        <w:ind w:left="720" w:hanging="720"/>
        <w:rPr>
          <w:rFonts w:ascii="Calibri" w:hAnsi="Calibri" w:cs="Arial"/>
          <w:sz w:val="18"/>
          <w:szCs w:val="22"/>
        </w:rPr>
      </w:pPr>
      <w:r w:rsidRPr="00D20764">
        <w:rPr>
          <w:rFonts w:ascii="Calibri" w:hAnsi="Calibri" w:cs="Arial"/>
          <w:sz w:val="18"/>
          <w:szCs w:val="22"/>
        </w:rPr>
        <w:t xml:space="preserve">Shao, J.S-C., McLaws, M-L., Lin, M-H., Jagger, J. &amp; Chen, C-J. (2009). Chinese EPINet and Recall Rates for Percutaneous Injuries: An Epidemic Proportion of Underreporting in the Taiwan Healthcare System. </w:t>
      </w:r>
      <w:r w:rsidRPr="00D20764">
        <w:rPr>
          <w:rFonts w:ascii="Calibri" w:hAnsi="Calibri" w:cs="Arial"/>
          <w:i/>
          <w:sz w:val="18"/>
          <w:szCs w:val="22"/>
        </w:rPr>
        <w:t xml:space="preserve">Journal of Occupational Health, 51, </w:t>
      </w:r>
      <w:r w:rsidRPr="00D20764">
        <w:rPr>
          <w:rFonts w:ascii="Calibri" w:hAnsi="Calibri" w:cs="Arial"/>
          <w:sz w:val="18"/>
          <w:szCs w:val="22"/>
        </w:rPr>
        <w:t xml:space="preserve">132-136. </w:t>
      </w:r>
    </w:p>
    <w:p w14:paraId="4E8CF606" w14:textId="77777777" w:rsidR="00B36F34" w:rsidRPr="00D20764" w:rsidRDefault="00B36F34" w:rsidP="00B36F34">
      <w:pPr>
        <w:widowControl w:val="0"/>
        <w:ind w:left="720" w:hanging="720"/>
        <w:rPr>
          <w:rFonts w:ascii="Calibri" w:hAnsi="Calibri" w:cs="Arial"/>
          <w:sz w:val="18"/>
          <w:szCs w:val="22"/>
        </w:rPr>
      </w:pPr>
    </w:p>
    <w:p w14:paraId="10C71E9F" w14:textId="77777777" w:rsidR="00B36F34" w:rsidRPr="00D20764" w:rsidRDefault="00B36F34" w:rsidP="00B36F34">
      <w:pPr>
        <w:widowControl w:val="0"/>
        <w:ind w:left="720" w:hanging="720"/>
        <w:rPr>
          <w:rFonts w:ascii="Calibri" w:hAnsi="Calibri" w:cs="Arial"/>
          <w:sz w:val="18"/>
          <w:szCs w:val="22"/>
        </w:rPr>
      </w:pPr>
      <w:r w:rsidRPr="00D20764">
        <w:rPr>
          <w:rFonts w:ascii="Calibri" w:hAnsi="Calibri" w:cs="Arial"/>
          <w:sz w:val="18"/>
          <w:szCs w:val="22"/>
        </w:rPr>
        <w:t xml:space="preserve">Sharma, R., Rasania, S.K., Verma, A., Singh, S. (2010). Study of prevalence and response to the needlestick injuries among healthcare workers in a tertiary care hospital in Delhi, India. </w:t>
      </w:r>
      <w:r w:rsidRPr="00D20764">
        <w:rPr>
          <w:rFonts w:ascii="Calibri" w:hAnsi="Calibri" w:cs="Arial"/>
          <w:i/>
          <w:sz w:val="18"/>
          <w:szCs w:val="22"/>
        </w:rPr>
        <w:t>Indian J Community Med, 35(1),</w:t>
      </w:r>
      <w:r w:rsidRPr="00D20764">
        <w:rPr>
          <w:rFonts w:ascii="Calibri" w:hAnsi="Calibri" w:cs="Arial"/>
          <w:sz w:val="18"/>
          <w:szCs w:val="22"/>
        </w:rPr>
        <w:t xml:space="preserve"> 74-77</w:t>
      </w:r>
    </w:p>
    <w:p w14:paraId="41EE7674" w14:textId="77777777" w:rsidR="00B36F34" w:rsidRPr="00D20764" w:rsidRDefault="00B36F34" w:rsidP="00B36F34">
      <w:pPr>
        <w:widowControl w:val="0"/>
        <w:rPr>
          <w:rFonts w:ascii="Calibri" w:hAnsi="Calibri" w:cs="Arial"/>
          <w:sz w:val="18"/>
          <w:szCs w:val="22"/>
        </w:rPr>
      </w:pPr>
    </w:p>
    <w:p w14:paraId="74431EEC" w14:textId="77777777" w:rsidR="00B36F34" w:rsidRPr="00D20764" w:rsidRDefault="00B36F34" w:rsidP="00B36F34">
      <w:pPr>
        <w:ind w:left="720" w:hanging="720"/>
        <w:jc w:val="both"/>
        <w:rPr>
          <w:rFonts w:ascii="Calibri" w:hAnsi="Calibri" w:cs="Arial"/>
          <w:sz w:val="18"/>
          <w:szCs w:val="22"/>
        </w:rPr>
      </w:pPr>
      <w:r w:rsidRPr="00D20764">
        <w:rPr>
          <w:rFonts w:ascii="Calibri" w:hAnsi="Calibri" w:cs="Arial"/>
          <w:sz w:val="18"/>
          <w:szCs w:val="22"/>
        </w:rPr>
        <w:lastRenderedPageBreak/>
        <w:t>U.S. Department of Labor Occupational Safety and Health Administration. (2009). Bloodborne pathogens and needlestick prevention. Retrieved from http://www.osha.gov/SLTC/bloodbornepathogens/index.html</w:t>
      </w:r>
    </w:p>
    <w:p w14:paraId="4E063B52" w14:textId="77777777" w:rsidR="00B36F34" w:rsidRPr="00D20764" w:rsidRDefault="00B36F34" w:rsidP="00B36F34">
      <w:pPr>
        <w:jc w:val="both"/>
        <w:rPr>
          <w:rFonts w:ascii="Calibri" w:hAnsi="Calibri" w:cs="Arial"/>
          <w:sz w:val="18"/>
          <w:szCs w:val="22"/>
        </w:rPr>
      </w:pPr>
      <w:r w:rsidRPr="00D20764">
        <w:rPr>
          <w:rFonts w:ascii="Calibri" w:hAnsi="Calibri" w:cs="Arial"/>
          <w:sz w:val="18"/>
          <w:szCs w:val="22"/>
        </w:rPr>
        <w:t>.</w:t>
      </w:r>
    </w:p>
    <w:p w14:paraId="601E8EBB" w14:textId="77777777" w:rsidR="00B36F34" w:rsidRPr="00D20764" w:rsidRDefault="00B36F34" w:rsidP="00B36F34">
      <w:pPr>
        <w:widowControl w:val="0"/>
        <w:tabs>
          <w:tab w:val="left" w:pos="8100"/>
        </w:tabs>
        <w:ind w:left="360" w:hanging="360"/>
        <w:jc w:val="both"/>
        <w:rPr>
          <w:rFonts w:ascii="Calibri" w:hAnsi="Calibri" w:cs="Arial"/>
          <w:sz w:val="18"/>
          <w:szCs w:val="22"/>
        </w:rPr>
      </w:pPr>
      <w:r w:rsidRPr="00D20764">
        <w:rPr>
          <w:rFonts w:ascii="Calibri" w:hAnsi="Calibri" w:cs="Arial"/>
          <w:sz w:val="18"/>
          <w:szCs w:val="22"/>
        </w:rPr>
        <w:t>World Health Organization &amp; United Nations AIDS. (2010). Toward universal access: Scaling up priority HIV/AIDS interventions in the health sector progress report. Retrieved from http://www.who.int/hiv/pub/2010progressreport/en/</w:t>
      </w:r>
    </w:p>
    <w:p w14:paraId="0F5682E3" w14:textId="77777777" w:rsidR="00B36F34" w:rsidRPr="00D20764" w:rsidRDefault="00B36F34" w:rsidP="00B36F34">
      <w:pPr>
        <w:widowControl w:val="0"/>
        <w:ind w:left="720" w:hanging="720"/>
        <w:rPr>
          <w:rFonts w:ascii="Calibri" w:hAnsi="Calibri" w:cs="Arial"/>
          <w:sz w:val="18"/>
          <w:szCs w:val="22"/>
        </w:rPr>
      </w:pPr>
    </w:p>
    <w:p w14:paraId="04E807F9" w14:textId="77777777" w:rsidR="00B36F34" w:rsidRPr="00D20764" w:rsidRDefault="00B36F34" w:rsidP="00B36F34">
      <w:pPr>
        <w:widowControl w:val="0"/>
        <w:tabs>
          <w:tab w:val="left" w:pos="8100"/>
        </w:tabs>
        <w:ind w:left="360" w:hanging="360"/>
        <w:jc w:val="both"/>
        <w:rPr>
          <w:rFonts w:ascii="Calibri" w:hAnsi="Calibri" w:cs="Arial"/>
          <w:sz w:val="18"/>
          <w:szCs w:val="22"/>
        </w:rPr>
      </w:pPr>
      <w:r w:rsidRPr="00D20764">
        <w:rPr>
          <w:rFonts w:ascii="Calibri" w:hAnsi="Calibri" w:cs="Arial"/>
          <w:sz w:val="18"/>
          <w:szCs w:val="22"/>
        </w:rPr>
        <w:t xml:space="preserve">UNAIDS &amp; World Health Organization. (2009). AIDS epidemic update: December 2009. Switzerland: UNAIDS. </w:t>
      </w:r>
    </w:p>
    <w:p w14:paraId="54869633" w14:textId="77777777" w:rsidR="00B36F34" w:rsidRPr="00D20764" w:rsidRDefault="00B36F34" w:rsidP="00B36F34">
      <w:pPr>
        <w:widowControl w:val="0"/>
        <w:ind w:left="720" w:hanging="720"/>
        <w:rPr>
          <w:rFonts w:ascii="Calibri" w:hAnsi="Calibri" w:cs="Arial"/>
          <w:sz w:val="18"/>
          <w:szCs w:val="22"/>
        </w:rPr>
      </w:pPr>
    </w:p>
    <w:p w14:paraId="4A3D0BF3" w14:textId="77777777" w:rsidR="00B36F34" w:rsidRPr="00D20764" w:rsidRDefault="00B36F34" w:rsidP="00B36F34">
      <w:pPr>
        <w:widowControl w:val="0"/>
        <w:ind w:left="720" w:hanging="720"/>
        <w:rPr>
          <w:rFonts w:ascii="Calibri" w:hAnsi="Calibri" w:cs="Arial"/>
          <w:sz w:val="18"/>
          <w:szCs w:val="22"/>
        </w:rPr>
      </w:pPr>
      <w:r w:rsidRPr="00D20764">
        <w:rPr>
          <w:rFonts w:ascii="Calibri" w:hAnsi="Calibri" w:cs="Arial"/>
          <w:sz w:val="18"/>
          <w:szCs w:val="22"/>
        </w:rPr>
        <w:t xml:space="preserve">Zafar, A., Habib, F., Hadwani, R., Ejaz, M., Khowaja, K., Khowaja, R. &amp; Irfan, S. (2009). Impact of infection control activities on the rate of needlestick injuries at a tertiary care hospital of Pakistan over a period of six years: an observational study. </w:t>
      </w:r>
      <w:r w:rsidRPr="00D20764">
        <w:rPr>
          <w:rFonts w:ascii="Calibri" w:hAnsi="Calibri" w:cs="Arial"/>
          <w:i/>
          <w:sz w:val="18"/>
          <w:szCs w:val="22"/>
        </w:rPr>
        <w:t xml:space="preserve">BMC Infectious Diseases, 9, </w:t>
      </w:r>
      <w:r w:rsidRPr="00D20764">
        <w:rPr>
          <w:rFonts w:ascii="Calibri" w:hAnsi="Calibri" w:cs="Arial"/>
          <w:sz w:val="18"/>
          <w:szCs w:val="22"/>
        </w:rPr>
        <w:t>78. doi:10.1186/1471-2334-9-78</w:t>
      </w:r>
    </w:p>
    <w:p w14:paraId="230058EC" w14:textId="77777777" w:rsidR="00B36F34" w:rsidRPr="00D20764" w:rsidRDefault="00B36F34" w:rsidP="00B36F34">
      <w:pPr>
        <w:spacing w:after="100" w:afterAutospacing="1"/>
        <w:rPr>
          <w:rFonts w:ascii="Calibri" w:hAnsi="Calibri" w:cs="Arial"/>
          <w:b/>
          <w:color w:val="C0504D" w:themeColor="accent2"/>
          <w:sz w:val="14"/>
        </w:rPr>
      </w:pPr>
    </w:p>
    <w:p w14:paraId="5F6021EF" w14:textId="77777777" w:rsidR="00B36F34" w:rsidRDefault="00B36F34" w:rsidP="00B36F34">
      <w:pPr>
        <w:spacing w:after="100" w:afterAutospacing="1"/>
        <w:rPr>
          <w:rFonts w:ascii="Times New Roman" w:hAnsi="Times New Roman" w:cs="Times New Roman"/>
        </w:rPr>
      </w:pPr>
    </w:p>
    <w:p w14:paraId="33172631" w14:textId="0EF14CA9" w:rsidR="00B36F34" w:rsidRPr="005803B0" w:rsidRDefault="00B36F34" w:rsidP="00B36F34">
      <w:pPr>
        <w:spacing w:after="100" w:afterAutospacing="1"/>
        <w:rPr>
          <w:rFonts w:ascii="Arial" w:hAnsi="Arial" w:cs="Arial"/>
          <w:color w:val="C0504D" w:themeColor="accent2"/>
          <w:sz w:val="22"/>
        </w:rPr>
      </w:pPr>
      <w:r w:rsidRPr="00E80F31">
        <w:rPr>
          <w:rFonts w:ascii="Arial" w:hAnsi="Arial" w:cs="Arial"/>
          <w:color w:val="C0504D" w:themeColor="accent2"/>
          <w:sz w:val="22"/>
        </w:rPr>
        <w:t>Biography:</w:t>
      </w:r>
      <w:bookmarkStart w:id="0" w:name="_GoBack"/>
      <w:bookmarkEnd w:id="0"/>
    </w:p>
    <w:p w14:paraId="1A20FC92" w14:textId="77777777" w:rsidR="00B36F34" w:rsidRDefault="00B36F34" w:rsidP="00B36F34">
      <w:pPr>
        <w:spacing w:after="100" w:afterAutospacing="1"/>
        <w:jc w:val="both"/>
        <w:rPr>
          <w:rFonts w:ascii="Arial" w:hAnsi="Arial" w:cs="Arial"/>
          <w:sz w:val="14"/>
        </w:rPr>
      </w:pPr>
      <w:r w:rsidRPr="00D20764">
        <w:rPr>
          <w:rFonts w:ascii="Arial" w:hAnsi="Arial" w:cs="Arial"/>
          <w:b/>
          <w:sz w:val="14"/>
        </w:rPr>
        <w:t>Enrick Joshua Miranda Cruz</w:t>
      </w:r>
      <w:r w:rsidRPr="00D20764">
        <w:rPr>
          <w:rFonts w:ascii="Arial" w:hAnsi="Arial" w:cs="Arial"/>
          <w:sz w:val="14"/>
        </w:rPr>
        <w:t xml:space="preserve"> completed his Doctor of Medicine degree in University of the Philippines and Masters Degree in Public Management in Development Academy of the Philippines. He worked under the Department of Health as a community doctor in the island municipality of San Jose, Romblon Philippines for two years where he focused on infectious diseases, vaccinations and child and maternal health. He then pursued residency training program in Internal Medicine in the Philippine General Hospital and graduated in 2018. He is currently a training fellow in the Section of Pulmonary Medicine in the same hospital. He is an advocate of hospital safety regulation focusing on healthcare related injury and illness. Beyond medicine, he is a trained cook and a soloist tenor.</w:t>
      </w:r>
      <w:r>
        <w:rPr>
          <w:rFonts w:ascii="Arial" w:hAnsi="Arial" w:cs="Arial"/>
          <w:sz w:val="14"/>
        </w:rPr>
        <w:t xml:space="preserve"> </w:t>
      </w:r>
    </w:p>
    <w:p w14:paraId="7E862D8D" w14:textId="77777777" w:rsidR="00B36F34" w:rsidRPr="00D20764" w:rsidRDefault="00B36F34" w:rsidP="00B36F34">
      <w:pPr>
        <w:spacing w:after="100" w:afterAutospacing="1"/>
        <w:jc w:val="both"/>
        <w:rPr>
          <w:rFonts w:ascii="Arial" w:hAnsi="Arial" w:cs="Arial"/>
          <w:sz w:val="14"/>
        </w:rPr>
      </w:pPr>
      <w:r>
        <w:rPr>
          <w:rFonts w:ascii="Arial" w:hAnsi="Arial" w:cs="Arial"/>
          <w:sz w:val="14"/>
        </w:rPr>
        <w:t>Email: ejmiranda_cruz@yahoo.com.ph</w:t>
      </w:r>
    </w:p>
    <w:p w14:paraId="7C8E631E" w14:textId="77777777" w:rsidR="00B36F34" w:rsidRPr="00343940" w:rsidRDefault="00B36F34" w:rsidP="00B36F34">
      <w:pPr>
        <w:spacing w:after="100" w:afterAutospacing="1"/>
        <w:rPr>
          <w:rFonts w:ascii="Times New Roman" w:hAnsi="Times New Roman" w:cs="Times New Roman"/>
        </w:rPr>
      </w:pPr>
    </w:p>
    <w:p w14:paraId="7D7D817D" w14:textId="77777777" w:rsidR="00B36F34" w:rsidRPr="00343940" w:rsidRDefault="00B36F34" w:rsidP="00B36F34">
      <w:pPr>
        <w:spacing w:after="100" w:afterAutospacing="1"/>
        <w:rPr>
          <w:rFonts w:ascii="Times New Roman" w:hAnsi="Times New Roman" w:cs="Times New Roman"/>
        </w:rPr>
      </w:pPr>
    </w:p>
    <w:p w14:paraId="52DD8189" w14:textId="77777777" w:rsidR="00D84972" w:rsidRDefault="00D84972"/>
    <w:sectPr w:rsidR="00D84972" w:rsidSect="00484F03">
      <w:pgSz w:w="12240" w:h="15840"/>
      <w:pgMar w:top="1418" w:right="1418" w:bottom="1418"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Calibri">
    <w:panose1 w:val="020F0502020204030204"/>
    <w:charset w:val="00"/>
    <w:family w:val="auto"/>
    <w:pitch w:val="variable"/>
    <w:sig w:usb0="E10002FF" w:usb1="4000ACFF" w:usb2="00000009" w:usb3="00000000" w:csb0="0000019F" w:csb1="00000000"/>
  </w:font>
  <w:font w:name="Palatino Linotype">
    <w:panose1 w:val="02040502050505030304"/>
    <w:charset w:val="00"/>
    <w:family w:val="auto"/>
    <w:pitch w:val="variable"/>
    <w:sig w:usb0="E0000287" w:usb1="40000013" w:usb2="00000000" w:usb3="00000000" w:csb0="0000019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F34"/>
    <w:rsid w:val="002E50AE"/>
    <w:rsid w:val="005803B0"/>
    <w:rsid w:val="006F712D"/>
    <w:rsid w:val="00B36F34"/>
    <w:rsid w:val="00D8497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8E4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F34"/>
    <w:pPr>
      <w:spacing w:after="0"/>
    </w:pPr>
    <w:rPr>
      <w:rFonts w:eastAsiaTheme="minorHAnsi"/>
      <w:lang w:val="en-PH"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6F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6F34"/>
    <w:rPr>
      <w:rFonts w:ascii="Lucida Grande" w:eastAsiaTheme="minorHAnsi" w:hAnsi="Lucida Grande" w:cs="Lucida Grande"/>
      <w:sz w:val="18"/>
      <w:szCs w:val="18"/>
      <w:lang w:val="en-PH"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F34"/>
    <w:pPr>
      <w:spacing w:after="0"/>
    </w:pPr>
    <w:rPr>
      <w:rFonts w:eastAsiaTheme="minorHAnsi"/>
      <w:lang w:val="en-PH"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6F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6F34"/>
    <w:rPr>
      <w:rFonts w:ascii="Lucida Grande" w:eastAsiaTheme="minorHAnsi" w:hAnsi="Lucida Grande" w:cs="Lucida Grande"/>
      <w:sz w:val="18"/>
      <w:szCs w:val="18"/>
      <w:lang w:val="en-P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894</Words>
  <Characters>4806</Characters>
  <Application>Microsoft Macintosh Word</Application>
  <DocSecurity>0</DocSecurity>
  <Lines>73</Lines>
  <Paragraphs>8</Paragraphs>
  <ScaleCrop>false</ScaleCrop>
  <Company/>
  <LinksUpToDate>false</LinksUpToDate>
  <CharactersWithSpaces>5692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Enrick Joshua Cruz</dc:creator>
  <cp:keywords/>
  <dc:description/>
  <cp:lastModifiedBy>Enrick Joshua Cruz</cp:lastModifiedBy>
  <cp:revision>3</cp:revision>
  <dcterms:created xsi:type="dcterms:W3CDTF">2019-02-04T15:52:00Z</dcterms:created>
  <dcterms:modified xsi:type="dcterms:W3CDTF">2019-02-04T16:07:00Z</dcterms:modified>
</cp:coreProperties>
</file>