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40D1" w:rsidRPr="00E940D1" w:rsidRDefault="00E940D1" w:rsidP="00E940D1">
      <w:pPr>
        <w:pStyle w:val="BodyText"/>
        <w:spacing w:before="73"/>
        <w:ind w:left="100" w:right="5987"/>
        <w:jc w:val="both"/>
        <w:rPr>
          <w:rFonts w:ascii="Minion Pro" w:eastAsia="Minion Pro" w:hAnsi="Minion Pro" w:cs="Minion Pro"/>
          <w:b/>
          <w:bCs/>
          <w:color w:val="337AB7"/>
          <w:sz w:val="36"/>
          <w:szCs w:val="36"/>
        </w:rPr>
      </w:pPr>
      <w:r>
        <w:rPr>
          <w:rFonts w:ascii="Minion Pro" w:eastAsia="Minion Pro" w:hAnsi="Minion Pro" w:cs="Minion Pro"/>
          <w:b/>
          <w:bCs/>
          <w:color w:val="337AB7"/>
          <w:sz w:val="36"/>
          <w:szCs w:val="36"/>
        </w:rPr>
        <w:t xml:space="preserve">Comparison of the efficacy of       </w:t>
      </w:r>
      <w:r w:rsidRPr="00E940D1">
        <w:rPr>
          <w:rFonts w:ascii="Minion Pro" w:eastAsia="Minion Pro" w:hAnsi="Minion Pro" w:cs="Minion Pro"/>
          <w:b/>
          <w:bCs/>
          <w:color w:val="337AB7"/>
          <w:sz w:val="36"/>
          <w:szCs w:val="36"/>
        </w:rPr>
        <w:t>mouth rinses camellia sinensis extract, guava leaves extract and sodium fluoride solution, on Streptococcus mutans and Lactobacillus in children” (An In vivo and In vitro study)</w:t>
      </w:r>
    </w:p>
    <w:p w:rsidR="00AE3E37" w:rsidRPr="002862EB" w:rsidRDefault="0078738A" w:rsidP="002862EB">
      <w:pPr>
        <w:pStyle w:val="BodyText"/>
        <w:spacing w:before="73" w:line="198" w:lineRule="exact"/>
        <w:ind w:left="100" w:right="5987"/>
        <w:rPr>
          <w:rFonts w:ascii="Arial"/>
        </w:rPr>
      </w:pPr>
      <w:r>
        <w:rPr>
          <w:rFonts w:ascii="Arial"/>
        </w:rPr>
        <w:t xml:space="preserve">Dr </w:t>
      </w:r>
      <w:r w:rsidR="00E940D1">
        <w:rPr>
          <w:rFonts w:ascii="Arial"/>
        </w:rPr>
        <w:t>SAH</w:t>
      </w:r>
      <w:r w:rsidR="005973B9">
        <w:rPr>
          <w:rFonts w:ascii="Arial"/>
        </w:rPr>
        <w:t xml:space="preserve">, </w:t>
      </w:r>
      <w:r w:rsidR="00E940D1">
        <w:rPr>
          <w:rFonts w:ascii="Arial"/>
        </w:rPr>
        <w:t>MSD, ASU, Egypt</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E940D1" w:rsidRPr="00E940D1" w:rsidRDefault="007161D9" w:rsidP="007161D9">
      <w:pPr>
        <w:rPr>
          <w:sz w:val="18"/>
          <w:szCs w:val="18"/>
        </w:rPr>
      </w:pPr>
      <w:r>
        <w:rPr>
          <w:sz w:val="18"/>
          <w:szCs w:val="18"/>
        </w:rPr>
        <w:t>Aim:</w:t>
      </w:r>
      <w:r w:rsidR="00621748">
        <w:rPr>
          <w:sz w:val="18"/>
          <w:szCs w:val="18"/>
        </w:rPr>
        <w:t xml:space="preserve"> </w:t>
      </w:r>
      <w:r>
        <w:rPr>
          <w:sz w:val="18"/>
          <w:szCs w:val="18"/>
        </w:rPr>
        <w:t>This</w:t>
      </w:r>
      <w:r w:rsidR="00E940D1" w:rsidRPr="00E940D1">
        <w:rPr>
          <w:sz w:val="18"/>
          <w:szCs w:val="18"/>
        </w:rPr>
        <w:t xml:space="preserve"> study is to assess and compare intraorally the effectiveness of 0.5% Camellia sinensis extract, 0.5% guava leafs extract, 0.2% sodium fluoride solution on the number of Streptococcus mutans and Lactobacilli spp</w:t>
      </w:r>
      <w:r w:rsidR="00621748">
        <w:rPr>
          <w:sz w:val="18"/>
          <w:szCs w:val="18"/>
        </w:rPr>
        <w:t>. in dental plaque in</w:t>
      </w:r>
      <w:r w:rsidR="00E940D1" w:rsidRPr="00E940D1">
        <w:rPr>
          <w:sz w:val="18"/>
          <w:szCs w:val="18"/>
        </w:rPr>
        <w:t xml:space="preserve"> oral cavity. </w:t>
      </w:r>
      <w:r>
        <w:rPr>
          <w:sz w:val="18"/>
          <w:szCs w:val="18"/>
        </w:rPr>
        <w:t xml:space="preserve">Materials &amp; Methods: </w:t>
      </w:r>
      <w:r w:rsidR="00621748">
        <w:rPr>
          <w:sz w:val="18"/>
          <w:szCs w:val="18"/>
        </w:rPr>
        <w:t>44</w:t>
      </w:r>
      <w:r w:rsidR="00E940D1" w:rsidRPr="00E940D1">
        <w:rPr>
          <w:sz w:val="18"/>
          <w:szCs w:val="18"/>
        </w:rPr>
        <w:t xml:space="preserve"> healthy children of age group</w:t>
      </w:r>
      <w:r w:rsidR="00621748">
        <w:rPr>
          <w:sz w:val="18"/>
          <w:szCs w:val="18"/>
        </w:rPr>
        <w:t xml:space="preserve"> 7–12 years was carried out.</w:t>
      </w:r>
      <w:r w:rsidR="00E940D1" w:rsidRPr="00E940D1">
        <w:rPr>
          <w:sz w:val="18"/>
          <w:szCs w:val="18"/>
        </w:rPr>
        <w:t xml:space="preserve"> </w:t>
      </w:r>
      <w:r w:rsidR="00621748" w:rsidRPr="00E940D1">
        <w:rPr>
          <w:sz w:val="18"/>
          <w:szCs w:val="18"/>
        </w:rPr>
        <w:t>Subjects</w:t>
      </w:r>
      <w:r w:rsidR="00621748">
        <w:rPr>
          <w:sz w:val="18"/>
          <w:szCs w:val="18"/>
        </w:rPr>
        <w:t xml:space="preserve"> were randomly assigned to 4</w:t>
      </w:r>
      <w:r w:rsidR="00E940D1" w:rsidRPr="00E940D1">
        <w:rPr>
          <w:sz w:val="18"/>
          <w:szCs w:val="18"/>
        </w:rPr>
        <w:t xml:space="preserve"> groups: (A) 0.5% C. sinensis extract, (B) 0.5% guava leafs extract, (C) 0.2% sodium fluoride, and (D) Saline mouth wash, with 11 subjects per group. Plaque samples were taken and streptococcus mutans bacterial count was assessed before and aft</w:t>
      </w:r>
      <w:r w:rsidR="00621748">
        <w:rPr>
          <w:sz w:val="18"/>
          <w:szCs w:val="18"/>
        </w:rPr>
        <w:t xml:space="preserve">er using the mouth rinses. </w:t>
      </w:r>
      <w:r w:rsidR="00621748" w:rsidRPr="00E940D1">
        <w:rPr>
          <w:sz w:val="18"/>
          <w:szCs w:val="18"/>
        </w:rPr>
        <w:t>Salivary</w:t>
      </w:r>
      <w:r w:rsidR="00E940D1" w:rsidRPr="00E940D1">
        <w:rPr>
          <w:sz w:val="18"/>
          <w:szCs w:val="18"/>
        </w:rPr>
        <w:t xml:space="preserve"> samples were taken and lactobacilli bacterial count was assessed before and after using the mouth rinses since there was no lact</w:t>
      </w:r>
      <w:r w:rsidR="00621748">
        <w:rPr>
          <w:sz w:val="18"/>
          <w:szCs w:val="18"/>
        </w:rPr>
        <w:t xml:space="preserve">obacillus in plaque samples. Efficacy of </w:t>
      </w:r>
      <w:r w:rsidR="00E940D1" w:rsidRPr="00E940D1">
        <w:rPr>
          <w:sz w:val="18"/>
          <w:szCs w:val="18"/>
        </w:rPr>
        <w:t xml:space="preserve">extracts was tested against those bacteria through </w:t>
      </w:r>
      <w:r w:rsidR="00621748">
        <w:rPr>
          <w:sz w:val="18"/>
          <w:szCs w:val="18"/>
        </w:rPr>
        <w:t>a well-diffusion method</w:t>
      </w:r>
      <w:r w:rsidR="00E940D1" w:rsidRPr="00E940D1">
        <w:rPr>
          <w:sz w:val="18"/>
          <w:szCs w:val="18"/>
        </w:rPr>
        <w:t xml:space="preserve">. Results: In the in vivo </w:t>
      </w:r>
      <w:r w:rsidR="00621748" w:rsidRPr="00E940D1">
        <w:rPr>
          <w:sz w:val="18"/>
          <w:szCs w:val="18"/>
        </w:rPr>
        <w:t>analysis:</w:t>
      </w:r>
      <w:r w:rsidR="00621748">
        <w:rPr>
          <w:sz w:val="18"/>
          <w:szCs w:val="18"/>
        </w:rPr>
        <w:t xml:space="preserve"> </w:t>
      </w:r>
      <w:r w:rsidR="00E940D1" w:rsidRPr="00E940D1">
        <w:rPr>
          <w:sz w:val="18"/>
          <w:szCs w:val="18"/>
        </w:rPr>
        <w:t>fluoride, green tea, and guava extract significantly reduced Streptococcus mutans colony counts in plaque compared to saline. in vivo analysis of lactobacilli in saliva there was a significant difference between the reduction percentage changes of all tested groups but there was no significant difference in the bacterial counts between all the tested groups be</w:t>
      </w:r>
      <w:r w:rsidR="00621748">
        <w:rPr>
          <w:sz w:val="18"/>
          <w:szCs w:val="18"/>
        </w:rPr>
        <w:t xml:space="preserve">fore and after rinsing. </w:t>
      </w:r>
      <w:r w:rsidR="00E940D1" w:rsidRPr="00E940D1">
        <w:rPr>
          <w:sz w:val="18"/>
          <w:szCs w:val="18"/>
        </w:rPr>
        <w:t xml:space="preserve"> </w:t>
      </w:r>
      <w:r w:rsidR="00621748" w:rsidRPr="00E940D1">
        <w:rPr>
          <w:sz w:val="18"/>
          <w:szCs w:val="18"/>
        </w:rPr>
        <w:t>In</w:t>
      </w:r>
      <w:r w:rsidR="00E940D1" w:rsidRPr="00E940D1">
        <w:rPr>
          <w:sz w:val="18"/>
          <w:szCs w:val="18"/>
        </w:rPr>
        <w:t xml:space="preserve"> the in vitro analysis Fluoride, Green tea extract and Guava extract showed significant difference between the diameters of streptococcus mutans and lactobacilli bacterial inhibition zones at different concentrations. Conclusion: In this in vivo study, green tea extract more effective than guava extract on streptococcus mutans in plaque in comparison to Fluoride while guava extract was more effective than green tea extract on lactobacilli in saliva in </w:t>
      </w:r>
      <w:r w:rsidR="00621748">
        <w:rPr>
          <w:sz w:val="18"/>
          <w:szCs w:val="18"/>
        </w:rPr>
        <w:t xml:space="preserve">comparison to fluoride. </w:t>
      </w:r>
    </w:p>
    <w:p w:rsidR="00AE3E37" w:rsidRDefault="00AE3E37" w:rsidP="005148F8">
      <w:pPr>
        <w:pStyle w:val="Heading3"/>
        <w:spacing w:before="74"/>
        <w:ind w:left="0"/>
        <w:rPr>
          <w:b w:val="0"/>
        </w:rPr>
      </w:pPr>
    </w:p>
    <w:p w:rsidR="005148F8" w:rsidRDefault="005148F8" w:rsidP="005148F8">
      <w:pPr>
        <w:pStyle w:val="Heading3"/>
        <w:spacing w:before="74"/>
        <w:ind w:left="0"/>
      </w:pPr>
      <w:bookmarkStart w:id="0" w:name="_GoBack"/>
      <w:bookmarkEnd w:id="0"/>
    </w:p>
    <w:p w:rsidR="00AE3E37" w:rsidRDefault="00AE3E37">
      <w:pPr>
        <w:pStyle w:val="BodyText"/>
        <w:spacing w:before="2"/>
        <w:rPr>
          <w:noProof/>
        </w:rPr>
      </w:pPr>
    </w:p>
    <w:p w:rsidR="00773895" w:rsidRDefault="00773895">
      <w:pPr>
        <w:pStyle w:val="BodyText"/>
        <w:spacing w:before="2"/>
        <w:rPr>
          <w:noProof/>
        </w:rPr>
      </w:pPr>
    </w:p>
    <w:p w:rsidR="00773895" w:rsidRDefault="00773895">
      <w:pPr>
        <w:pStyle w:val="BodyText"/>
        <w:spacing w:before="2"/>
        <w:rPr>
          <w:noProof/>
        </w:rPr>
      </w:pPr>
    </w:p>
    <w:p w:rsidR="00773895" w:rsidRPr="00773895" w:rsidRDefault="00773895" w:rsidP="00773895">
      <w:pPr>
        <w:pStyle w:val="BodyText"/>
        <w:spacing w:before="2"/>
        <w:rPr>
          <w:noProof/>
        </w:rPr>
      </w:pPr>
    </w:p>
    <w:p w:rsidR="005973B9" w:rsidRDefault="005973B9" w:rsidP="005973B9">
      <w:pPr>
        <w:spacing w:line="204" w:lineRule="exact"/>
        <w:rPr>
          <w:rFonts w:ascii="Arial"/>
          <w:b/>
          <w:sz w:val="20"/>
        </w:rPr>
      </w:pPr>
      <w:r>
        <w:rPr>
          <w:rFonts w:ascii="Arial"/>
          <w:b/>
          <w:color w:val="BF5A14"/>
          <w:sz w:val="20"/>
        </w:rPr>
        <w:br/>
        <w:t>Recent Publications (minimum 5)</w:t>
      </w:r>
    </w:p>
    <w:p w:rsidR="00773895" w:rsidRDefault="00773895" w:rsidP="00773895">
      <w:pPr>
        <w:pStyle w:val="BodyText"/>
        <w:spacing w:before="85" w:line="216" w:lineRule="exact"/>
        <w:ind w:left="383" w:right="138" w:hanging="284"/>
        <w:jc w:val="both"/>
        <w:rPr>
          <w:rFonts w:ascii="Calibri" w:hAnsi="Calibri"/>
        </w:rPr>
      </w:pPr>
      <w:r>
        <w:rPr>
          <w:rFonts w:ascii="Calibri" w:hAnsi="Calibri"/>
        </w:rPr>
        <w:t>1-</w:t>
      </w:r>
      <w:r w:rsidR="004B69EC" w:rsidRPr="004B69EC">
        <w:t xml:space="preserve"> </w:t>
      </w:r>
      <w:r w:rsidR="004B69EC" w:rsidRPr="004B69EC">
        <w:rPr>
          <w:rFonts w:ascii="Calibri" w:hAnsi="Calibri"/>
        </w:rPr>
        <w:t>Y. Sara, E. Nadia, A. Gehan, A. Mostafa, Comparison of the efficacy of       mouth rinses camellia sinensis extract, guava leaves extract and sodium fluoride solution, on Streptococcus mutans and Lactobacillus in children” (</w:t>
      </w:r>
      <w:r w:rsidR="004B69EC">
        <w:rPr>
          <w:rFonts w:ascii="Calibri" w:hAnsi="Calibri"/>
        </w:rPr>
        <w:t xml:space="preserve">In vivo and </w:t>
      </w:r>
      <w:r w:rsidR="004B69EC" w:rsidRPr="004B69EC">
        <w:rPr>
          <w:rFonts w:ascii="Calibri" w:hAnsi="Calibri"/>
        </w:rPr>
        <w:t xml:space="preserve">in vitro) </w:t>
      </w:r>
      <w:r w:rsidR="004B69EC">
        <w:rPr>
          <w:rFonts w:ascii="Calibri" w:hAnsi="Calibri"/>
        </w:rPr>
        <w:t>This</w:t>
      </w:r>
      <w:r w:rsidR="00ED1715">
        <w:rPr>
          <w:rFonts w:ascii="Calibri" w:hAnsi="Calibri"/>
        </w:rPr>
        <w:t xml:space="preserve"> study have been presented in the 4</w:t>
      </w:r>
      <w:r w:rsidR="00ED1715">
        <w:rPr>
          <w:rFonts w:ascii="Calibri" w:hAnsi="Calibri"/>
          <w:vertAlign w:val="superscript"/>
        </w:rPr>
        <w:t xml:space="preserve">th </w:t>
      </w:r>
      <w:r w:rsidR="00ED1715">
        <w:rPr>
          <w:rFonts w:ascii="Calibri" w:hAnsi="Calibri"/>
        </w:rPr>
        <w:t>Egyptian, 9</w:t>
      </w:r>
      <w:r w:rsidR="00ED1715">
        <w:rPr>
          <w:rFonts w:ascii="Calibri" w:hAnsi="Calibri"/>
          <w:vertAlign w:val="superscript"/>
        </w:rPr>
        <w:t>th</w:t>
      </w:r>
      <w:r w:rsidR="00ED1715">
        <w:rPr>
          <w:rFonts w:ascii="Calibri" w:hAnsi="Calibri"/>
        </w:rPr>
        <w:t>Mediterranean and 12</w:t>
      </w:r>
      <w:r w:rsidR="00ED1715">
        <w:rPr>
          <w:rFonts w:ascii="Calibri" w:hAnsi="Calibri"/>
          <w:vertAlign w:val="superscript"/>
        </w:rPr>
        <w:t>th</w:t>
      </w:r>
      <w:r w:rsidR="00ED1715">
        <w:rPr>
          <w:rFonts w:ascii="Calibri" w:hAnsi="Calibri"/>
        </w:rPr>
        <w:t xml:space="preserve"> Arab International Congress of Pediatric Dentistry Association and held in 9</w:t>
      </w:r>
      <w:r w:rsidR="00ED1715">
        <w:rPr>
          <w:rFonts w:ascii="Calibri" w:hAnsi="Calibri"/>
          <w:vertAlign w:val="superscript"/>
        </w:rPr>
        <w:t xml:space="preserve">th </w:t>
      </w:r>
      <w:r w:rsidR="00ED1715">
        <w:rPr>
          <w:rFonts w:ascii="Calibri" w:hAnsi="Calibri"/>
        </w:rPr>
        <w:t>November 2018.</w:t>
      </w:r>
    </w:p>
    <w:p w:rsidR="00773895" w:rsidRDefault="004B69EC" w:rsidP="004B69EC">
      <w:pPr>
        <w:pStyle w:val="BodyText"/>
        <w:spacing w:before="85" w:line="216" w:lineRule="exact"/>
        <w:ind w:left="383" w:right="138" w:hanging="284"/>
        <w:rPr>
          <w:rFonts w:ascii="Calibri" w:hAnsi="Calibri"/>
        </w:rPr>
      </w:pPr>
      <w:r>
        <w:rPr>
          <w:rFonts w:ascii="Calibri" w:hAnsi="Calibri"/>
        </w:rPr>
        <w:t>2- Y</w:t>
      </w:r>
      <w:r w:rsidRPr="004B69EC">
        <w:rPr>
          <w:rFonts w:ascii="Calibri" w:hAnsi="Calibri"/>
        </w:rPr>
        <w:t xml:space="preserve">. </w:t>
      </w:r>
      <w:r>
        <w:rPr>
          <w:rFonts w:ascii="Calibri" w:hAnsi="Calibri"/>
        </w:rPr>
        <w:t>Sara</w:t>
      </w:r>
      <w:r w:rsidRPr="004B69EC">
        <w:rPr>
          <w:rFonts w:ascii="Calibri" w:hAnsi="Calibri"/>
        </w:rPr>
        <w:t xml:space="preserve">, </w:t>
      </w:r>
      <w:r>
        <w:rPr>
          <w:rFonts w:ascii="Calibri" w:hAnsi="Calibri"/>
        </w:rPr>
        <w:t>E. Nadia,</w:t>
      </w:r>
      <w:r w:rsidRPr="004B69EC">
        <w:rPr>
          <w:rFonts w:ascii="Calibri" w:hAnsi="Calibri"/>
        </w:rPr>
        <w:t xml:space="preserve"> </w:t>
      </w:r>
      <w:r>
        <w:rPr>
          <w:rFonts w:ascii="Calibri" w:hAnsi="Calibri"/>
        </w:rPr>
        <w:t>A</w:t>
      </w:r>
      <w:r w:rsidRPr="004B69EC">
        <w:rPr>
          <w:rFonts w:ascii="Calibri" w:hAnsi="Calibri"/>
        </w:rPr>
        <w:t xml:space="preserve">. </w:t>
      </w:r>
      <w:r>
        <w:rPr>
          <w:rFonts w:ascii="Calibri" w:hAnsi="Calibri"/>
        </w:rPr>
        <w:t>Gehan,</w:t>
      </w:r>
      <w:r w:rsidRPr="004B69EC">
        <w:rPr>
          <w:rFonts w:ascii="Calibri" w:hAnsi="Calibri"/>
        </w:rPr>
        <w:t xml:space="preserve"> </w:t>
      </w:r>
      <w:r>
        <w:rPr>
          <w:rFonts w:ascii="Calibri" w:hAnsi="Calibri"/>
        </w:rPr>
        <w:t>A</w:t>
      </w:r>
      <w:r w:rsidRPr="004B69EC">
        <w:rPr>
          <w:rFonts w:ascii="Calibri" w:hAnsi="Calibri"/>
        </w:rPr>
        <w:t>.</w:t>
      </w:r>
      <w:r>
        <w:rPr>
          <w:rFonts w:ascii="Calibri" w:hAnsi="Calibri"/>
        </w:rPr>
        <w:t xml:space="preserve"> Mostafa,</w:t>
      </w:r>
      <w:r w:rsidRPr="004B69EC">
        <w:t xml:space="preserve"> </w:t>
      </w:r>
      <w:r w:rsidRPr="004B69EC">
        <w:rPr>
          <w:rFonts w:ascii="Calibri" w:hAnsi="Calibri"/>
        </w:rPr>
        <w:t>Comparison of the efficacy of       mouth rinses camellia sinensis extract, guava leaves extract and sodium fluoride solution, on Streptococcus mutans an</w:t>
      </w:r>
      <w:r>
        <w:rPr>
          <w:rFonts w:ascii="Calibri" w:hAnsi="Calibri"/>
        </w:rPr>
        <w:t>d Lactobacillus in children” ( in vitro) Al-Azhar J. D. S.,  (2017).</w:t>
      </w:r>
    </w:p>
    <w:p w:rsidR="004B69EC" w:rsidRDefault="004B69EC" w:rsidP="004B69EC">
      <w:pPr>
        <w:pStyle w:val="BodyText"/>
        <w:spacing w:before="85" w:line="216" w:lineRule="exact"/>
        <w:ind w:left="383" w:right="138" w:hanging="284"/>
        <w:rPr>
          <w:rFonts w:ascii="Calibri" w:hAnsi="Calibri"/>
        </w:rPr>
        <w:sectPr w:rsidR="004B69EC">
          <w:type w:val="continuous"/>
          <w:pgSz w:w="11910" w:h="16840"/>
          <w:pgMar w:top="1740" w:right="600" w:bottom="840" w:left="620" w:header="720" w:footer="720" w:gutter="0"/>
          <w:cols w:num="2" w:space="720" w:equalWidth="0">
            <w:col w:w="5214" w:space="138"/>
            <w:col w:w="5338"/>
          </w:cols>
        </w:sectPr>
      </w:pPr>
      <w:r>
        <w:rPr>
          <w:rFonts w:ascii="Calibri" w:hAnsi="Calibri"/>
        </w:rPr>
        <w:t xml:space="preserve">3- </w:t>
      </w:r>
      <w:r w:rsidRPr="004B69EC">
        <w:rPr>
          <w:rFonts w:ascii="Calibri" w:hAnsi="Calibri"/>
        </w:rPr>
        <w:t>Y. Sara, E. Nadia, A. Gehan, A. Mostafa, Comparison of the efficacy of       mouth rinses camellia sinensis extract, guava leaves extract and sodium fluoride solution, on Streptococcus mutans and Lactob</w:t>
      </w:r>
      <w:r>
        <w:rPr>
          <w:rFonts w:ascii="Calibri" w:hAnsi="Calibri"/>
        </w:rPr>
        <w:t>acillus in children” ( in vivo)  F. D. J. 2018.</w:t>
      </w:r>
    </w:p>
    <w:p w:rsidR="00AE3E37" w:rsidRDefault="007161D9" w:rsidP="002862EB">
      <w:pPr>
        <w:pStyle w:val="BodyText"/>
        <w:rPr>
          <w:rFonts w:ascii="Calibri"/>
          <w:sz w:val="20"/>
        </w:rPr>
      </w:pPr>
      <w:r>
        <w:rPr>
          <w:rFonts w:ascii="Calibri"/>
          <w:noProof/>
          <w:sz w:val="4"/>
        </w:rPr>
        <mc:AlternateContent>
          <mc:Choice Requires="wpg">
            <w:drawing>
              <wp:anchor distT="0" distB="0" distL="114300" distR="114300" simplePos="0" relativeHeight="251658240" behindDoc="0" locked="0" layoutInCell="1" allowOverlap="1">
                <wp:simplePos x="0" y="0"/>
                <wp:positionH relativeFrom="column">
                  <wp:posOffset>1691689</wp:posOffset>
                </wp:positionH>
                <wp:positionV relativeFrom="paragraph">
                  <wp:posOffset>133985</wp:posOffset>
                </wp:positionV>
                <wp:extent cx="3165475" cy="19685"/>
                <wp:effectExtent l="0" t="0" r="15875" b="0"/>
                <wp:wrapSquare wrapText="bothSides"/>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65475" cy="19685"/>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25F6A5BE" id="Group 4" o:spid="_x0000_s1026" style="position:absolute;margin-left:133.2pt;margin-top:10.55pt;width:249.25pt;height:1.55pt;z-index:251658240"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square"/>
              </v:group>
            </w:pict>
          </mc:Fallback>
        </mc:AlternateContent>
      </w:r>
    </w:p>
    <w:p w:rsidR="007161D9" w:rsidRPr="00E940D1" w:rsidRDefault="007161D9" w:rsidP="002862EB">
      <w:pPr>
        <w:pStyle w:val="BodyText"/>
        <w:rPr>
          <w:rFonts w:ascii="Calibri"/>
          <w:sz w:val="20"/>
        </w:rPr>
      </w:pPr>
    </w:p>
    <w:p w:rsidR="00AE3E37" w:rsidRDefault="00AE3E37">
      <w:pPr>
        <w:pStyle w:val="BodyText"/>
        <w:spacing w:line="40" w:lineRule="exact"/>
        <w:ind w:left="2202"/>
        <w:rPr>
          <w:rFonts w:ascii="Calibri"/>
          <w:sz w:val="4"/>
        </w:rPr>
      </w:pPr>
    </w:p>
    <w:p w:rsidR="00AE3E37" w:rsidRDefault="002862EB" w:rsidP="00E940D1">
      <w:pPr>
        <w:spacing w:before="92"/>
        <w:ind w:right="4234"/>
        <w:rPr>
          <w:rFonts w:ascii="Arial"/>
        </w:rPr>
      </w:pPr>
      <w:r w:rsidRPr="002862EB">
        <w:rPr>
          <w:noProof/>
        </w:rPr>
        <w:drawing>
          <wp:inline distT="0" distB="0" distL="0" distR="0">
            <wp:extent cx="539750" cy="660399"/>
            <wp:effectExtent l="0" t="0" r="0" b="6985"/>
            <wp:docPr id="2" name="Picture 2" descr="C:\Users\hp\Desktop\sa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sara.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46029" t="31153" r="41809" b="41061"/>
                    <a:stretch/>
                  </pic:blipFill>
                  <pic:spPr bwMode="auto">
                    <a:xfrm>
                      <a:off x="0" y="0"/>
                      <a:ext cx="548944" cy="671648"/>
                    </a:xfrm>
                    <a:prstGeom prst="rect">
                      <a:avLst/>
                    </a:prstGeom>
                    <a:noFill/>
                    <a:ln>
                      <a:noFill/>
                    </a:ln>
                    <a:extLst>
                      <a:ext uri="{53640926-AAD7-44D8-BBD7-CCE9431645EC}">
                        <a14:shadowObscured xmlns:a14="http://schemas.microsoft.com/office/drawing/2010/main"/>
                      </a:ext>
                    </a:extLst>
                  </pic:spPr>
                </pic:pic>
              </a:graphicData>
            </a:graphic>
          </wp:inline>
        </w:drawing>
      </w:r>
      <w:r w:rsidR="008756E6">
        <w:rPr>
          <w:noProof/>
        </w:rPr>
        <w:t xml:space="preserve">              </w:t>
      </w:r>
      <w:r w:rsidR="00A9710C">
        <w:rPr>
          <w:rFonts w:ascii="Arial"/>
          <w:color w:val="BF5A14"/>
        </w:rPr>
        <w:t>Biography</w:t>
      </w:r>
      <w:r w:rsidR="00404E5B">
        <w:rPr>
          <w:rFonts w:ascii="Arial"/>
          <w:color w:val="BF5A14"/>
        </w:rPr>
        <w:t xml:space="preserve"> (150 word limit)</w:t>
      </w:r>
    </w:p>
    <w:p w:rsidR="00AE3E37" w:rsidRDefault="00A9710C" w:rsidP="002862EB">
      <w:pPr>
        <w:spacing w:before="41" w:line="154" w:lineRule="exact"/>
        <w:ind w:left="213" w:right="231"/>
        <w:jc w:val="both"/>
        <w:rPr>
          <w:rFonts w:ascii="Arial"/>
          <w:sz w:val="14"/>
        </w:rPr>
      </w:pPr>
      <w:r>
        <w:rPr>
          <w:rFonts w:ascii="Arial"/>
          <w:sz w:val="14"/>
        </w:rPr>
        <w:t>D</w:t>
      </w:r>
      <w:r w:rsidR="0078738A">
        <w:rPr>
          <w:rFonts w:ascii="Arial"/>
          <w:sz w:val="14"/>
        </w:rPr>
        <w:t xml:space="preserve">r </w:t>
      </w:r>
      <w:r w:rsidR="00E940D1">
        <w:rPr>
          <w:rFonts w:ascii="Arial"/>
          <w:sz w:val="14"/>
        </w:rPr>
        <w:t xml:space="preserve">Sara Abdelkhalek </w:t>
      </w:r>
      <w:r>
        <w:rPr>
          <w:rFonts w:ascii="Arial"/>
          <w:sz w:val="14"/>
        </w:rPr>
        <w:t>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sidR="00E940D1">
        <w:rPr>
          <w:rFonts w:ascii="Arial"/>
          <w:sz w:val="14"/>
        </w:rPr>
        <w:t>evaluation</w:t>
      </w:r>
      <w:r w:rsidR="000E2911">
        <w:rPr>
          <w:rFonts w:ascii="Arial"/>
          <w:sz w:val="14"/>
        </w:rPr>
        <w:t xml:space="preserve"> </w:t>
      </w:r>
      <w:r>
        <w:rPr>
          <w:rFonts w:ascii="Arial"/>
          <w:sz w:val="14"/>
        </w:rPr>
        <w:t>and</w:t>
      </w:r>
      <w:r w:rsidR="000E2911">
        <w:rPr>
          <w:rFonts w:ascii="Arial"/>
          <w:sz w:val="14"/>
        </w:rPr>
        <w:t xml:space="preserve"> </w:t>
      </w:r>
      <w:r w:rsidR="00E940D1">
        <w:rPr>
          <w:rFonts w:ascii="Arial"/>
          <w:sz w:val="14"/>
        </w:rPr>
        <w:t>administration in</w:t>
      </w:r>
      <w:r>
        <w:rPr>
          <w:rFonts w:ascii="Arial"/>
          <w:sz w:val="14"/>
        </w:rPr>
        <w:t xml:space="preserve"> educa</w:t>
      </w:r>
      <w:r w:rsidR="00E940D1">
        <w:rPr>
          <w:rFonts w:ascii="Arial"/>
          <w:sz w:val="14"/>
        </w:rPr>
        <w:t>tion institutions. The</w:t>
      </w:r>
      <w:r>
        <w:rPr>
          <w:rFonts w:ascii="Arial"/>
          <w:sz w:val="14"/>
        </w:rPr>
        <w:t xml:space="preserve"> methodology that util</w:t>
      </w:r>
      <w:r w:rsidR="00E940D1">
        <w:rPr>
          <w:rFonts w:ascii="Arial"/>
          <w:sz w:val="14"/>
        </w:rPr>
        <w:t xml:space="preserve">izes the evaluation </w:t>
      </w:r>
      <w:r w:rsidR="002862EB">
        <w:rPr>
          <w:rFonts w:ascii="Arial"/>
          <w:sz w:val="14"/>
        </w:rPr>
        <w:t>of dental caries in children and also assess the bacterial growth in the child mouth. It allows to evaluate different mouth washes and</w:t>
      </w:r>
      <w:r>
        <w:rPr>
          <w:rFonts w:ascii="Arial"/>
          <w:sz w:val="14"/>
        </w:rPr>
        <w:t xml:space="preserve">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r w:rsidR="002862EB">
        <w:rPr>
          <w:rStyle w:val="Hyperlink"/>
          <w:rFonts w:ascii="Arial"/>
          <w:sz w:val="14"/>
        </w:rPr>
        <w:t>sarayounes87@gmail.com</w:t>
      </w:r>
    </w:p>
    <w:p w:rsidR="00ED1715" w:rsidRDefault="00292ED9" w:rsidP="00ED1715">
      <w:pPr>
        <w:pStyle w:val="BodyText"/>
        <w:spacing w:before="2"/>
        <w:rPr>
          <w:rFonts w:ascii="Minion Pro"/>
          <w:b/>
          <w:sz w:val="20"/>
        </w:rPr>
      </w:pPr>
      <w:r>
        <w:rPr>
          <w:noProof/>
        </w:rPr>
        <mc:AlternateContent>
          <mc:Choice Requires="wps">
            <w:drawing>
              <wp:anchor distT="0" distB="0" distL="0" distR="0" simplePos="0" relativeHeight="251651584"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DE733F" id="Line 3" o:spid="_x0000_s1026" style="position:absolute;z-index:251651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ED1715" w:rsidRDefault="00A9710C" w:rsidP="00ED1715">
      <w:pPr>
        <w:pStyle w:val="BodyText"/>
        <w:spacing w:before="2"/>
        <w:rPr>
          <w:rFonts w:ascii="Arial"/>
          <w:sz w:val="19"/>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0F06" w:rsidRDefault="00190F06">
      <w:r>
        <w:separator/>
      </w:r>
    </w:p>
  </w:endnote>
  <w:endnote w:type="continuationSeparator" w:id="0">
    <w:p w:rsidR="00190F06" w:rsidRDefault="00190F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0F06" w:rsidRDefault="00190F06">
      <w:r>
        <w:separator/>
      </w:r>
    </w:p>
  </w:footnote>
  <w:footnote w:type="continuationSeparator" w:id="0">
    <w:p w:rsidR="00190F06" w:rsidRDefault="00190F0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90F06"/>
    <w:rsid w:val="001E763C"/>
    <w:rsid w:val="002862EB"/>
    <w:rsid w:val="00292ED9"/>
    <w:rsid w:val="002F482B"/>
    <w:rsid w:val="00314AFB"/>
    <w:rsid w:val="003B76D9"/>
    <w:rsid w:val="00404E5B"/>
    <w:rsid w:val="00414F7B"/>
    <w:rsid w:val="004355DC"/>
    <w:rsid w:val="004749B4"/>
    <w:rsid w:val="00494130"/>
    <w:rsid w:val="004B69EC"/>
    <w:rsid w:val="004F3523"/>
    <w:rsid w:val="005148F8"/>
    <w:rsid w:val="00570723"/>
    <w:rsid w:val="005973B9"/>
    <w:rsid w:val="005B3A56"/>
    <w:rsid w:val="006060CE"/>
    <w:rsid w:val="00621748"/>
    <w:rsid w:val="0063497F"/>
    <w:rsid w:val="007161D9"/>
    <w:rsid w:val="00773895"/>
    <w:rsid w:val="0078738A"/>
    <w:rsid w:val="00873DF0"/>
    <w:rsid w:val="008756E6"/>
    <w:rsid w:val="008B5E3D"/>
    <w:rsid w:val="009B2D44"/>
    <w:rsid w:val="00A07E82"/>
    <w:rsid w:val="00A9710C"/>
    <w:rsid w:val="00AE3E37"/>
    <w:rsid w:val="00B21A57"/>
    <w:rsid w:val="00C33602"/>
    <w:rsid w:val="00CD6F55"/>
    <w:rsid w:val="00D62425"/>
    <w:rsid w:val="00DE3104"/>
    <w:rsid w:val="00E32E86"/>
    <w:rsid w:val="00E940D1"/>
    <w:rsid w:val="00ED1715"/>
    <w:rsid w:val="00F72EEA"/>
    <w:rsid w:val="00F8136A"/>
    <w:rsid w:val="00F84CAE"/>
    <w:rsid w:val="00FC578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AAD9AF6-2A96-4C59-8FBA-184FEAF91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552</Words>
  <Characters>3152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hp</cp:lastModifiedBy>
  <cp:revision>5</cp:revision>
  <dcterms:created xsi:type="dcterms:W3CDTF">2018-11-16T01:18:00Z</dcterms:created>
  <dcterms:modified xsi:type="dcterms:W3CDTF">2018-11-16T01:49:00Z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