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spacing w:line="360" w:lineRule="auto"/>
        <w:rPr>
          <w:b w:val="1"/>
          <w:bCs w:val="1"/>
          <w:sz w:val="30"/>
          <w:szCs w:val="30"/>
        </w:rPr>
      </w:pPr>
      <w:r>
        <w:rPr>
          <w:sz w:val="30"/>
          <w:szCs w:val="30"/>
          <w:rtl w:val="0"/>
          <w:lang w:val="en-US"/>
        </w:rPr>
        <w:t>I</w:t>
      </w:r>
      <w:r>
        <w:rPr>
          <w:b w:val="1"/>
          <w:bCs w:val="1"/>
          <w:sz w:val="30"/>
          <w:szCs w:val="30"/>
          <w:rtl w:val="0"/>
          <w:lang w:val="en-US"/>
        </w:rPr>
        <w:t>ntra abdominal abscess an algorithm for early diagnosis and appropriate managements</w:t>
      </w:r>
    </w:p>
    <w:p>
      <w:pPr>
        <w:pStyle w:val="Body A"/>
        <w:spacing w:line="360" w:lineRule="auto"/>
        <w:rPr>
          <w:sz w:val="30"/>
          <w:szCs w:val="30"/>
        </w:rPr>
      </w:pPr>
    </w:p>
    <w:p>
      <w:pPr>
        <w:pStyle w:val="Body A"/>
        <w:spacing w:line="360" w:lineRule="auto"/>
        <w:rPr>
          <w:sz w:val="30"/>
          <w:szCs w:val="30"/>
        </w:rPr>
      </w:pPr>
      <w:r>
        <w:rPr>
          <w:sz w:val="30"/>
          <w:szCs w:val="30"/>
          <w:rtl w:val="0"/>
          <w:lang w:val="en-US"/>
        </w:rPr>
        <w:t>Dr Gorthi Satyanarayana, Prof of Surgery, KAMSRC, Hyderabad.</w:t>
      </w:r>
    </w:p>
    <w:p>
      <w:pPr>
        <w:pStyle w:val="Body A"/>
        <w:spacing w:line="360" w:lineRule="auto"/>
        <w:rPr>
          <w:sz w:val="30"/>
          <w:szCs w:val="30"/>
        </w:rPr>
      </w:pPr>
    </w:p>
    <w:p>
      <w:pPr>
        <w:pStyle w:val="Body A"/>
        <w:spacing w:line="360" w:lineRule="auto"/>
        <w:rPr>
          <w:sz w:val="30"/>
          <w:szCs w:val="30"/>
        </w:rPr>
      </w:pPr>
    </w:p>
    <w:p>
      <w:pPr>
        <w:pStyle w:val="Body A"/>
        <w:spacing w:line="360" w:lineRule="auto"/>
        <w:rPr>
          <w:b w:val="1"/>
          <w:bCs w:val="1"/>
          <w:sz w:val="30"/>
          <w:szCs w:val="30"/>
          <w:u w:val="single"/>
        </w:rPr>
      </w:pPr>
      <w:r>
        <w:rPr>
          <w:b w:val="1"/>
          <w:bCs w:val="1"/>
          <w:sz w:val="30"/>
          <w:szCs w:val="30"/>
          <w:u w:val="single"/>
          <w:rtl w:val="0"/>
          <w:lang w:val="en-US"/>
        </w:rPr>
        <w:t>Abstract</w:t>
      </w:r>
    </w:p>
    <w:p>
      <w:pPr>
        <w:pStyle w:val="Body A"/>
        <w:spacing w:line="360" w:lineRule="auto"/>
        <w:rPr>
          <w:b w:val="1"/>
          <w:bCs w:val="1"/>
          <w:sz w:val="30"/>
          <w:szCs w:val="30"/>
          <w:u w:val="single"/>
        </w:rPr>
      </w:pPr>
    </w:p>
    <w:p>
      <w:pPr>
        <w:pStyle w:val="Body A"/>
        <w:spacing w:line="360" w:lineRule="auto"/>
        <w:rPr>
          <w:sz w:val="30"/>
          <w:szCs w:val="30"/>
        </w:rPr>
      </w:pPr>
      <w:r>
        <w:rPr>
          <w:sz w:val="30"/>
          <w:szCs w:val="30"/>
          <w:rtl w:val="0"/>
          <w:lang w:val="en-US"/>
        </w:rPr>
        <w:t>“</w:t>
      </w:r>
      <w:r>
        <w:rPr>
          <w:sz w:val="30"/>
          <w:szCs w:val="30"/>
          <w:rtl w:val="0"/>
          <w:lang w:val="en-US"/>
        </w:rPr>
        <w:t>Intra abdominal abscess is a collection of pus in the abdomen walled off by inflamed viscera and/or omentum.</w:t>
      </w:r>
      <w:r>
        <w:rPr>
          <w:sz w:val="30"/>
          <w:szCs w:val="30"/>
          <w:rtl w:val="0"/>
          <w:lang w:val="en-US"/>
        </w:rPr>
        <w:t xml:space="preserve">” </w:t>
      </w:r>
      <w:r>
        <w:rPr>
          <w:sz w:val="30"/>
          <w:szCs w:val="30"/>
          <w:rtl w:val="0"/>
          <w:lang w:val="en-US"/>
        </w:rPr>
        <w:t>The ethology and presentation are variable and sometimes obscure resulting in delayed diagnosis inapt of the availability of advanced imaging modalities like ultra sonogram and C.T. scan which in turn leads to delay in initiating appropriate treatment. This is the root cause of high morbidity and mortality.</w:t>
      </w:r>
    </w:p>
    <w:p>
      <w:pPr>
        <w:pStyle w:val="Body A"/>
        <w:spacing w:line="360" w:lineRule="auto"/>
        <w:rPr>
          <w:sz w:val="30"/>
          <w:szCs w:val="30"/>
        </w:rPr>
      </w:pPr>
      <w:r>
        <w:rPr>
          <w:sz w:val="30"/>
          <w:szCs w:val="30"/>
          <w:rtl w:val="0"/>
          <w:lang w:val="en-US"/>
        </w:rPr>
        <w:t>Proper understanding of the pathophysiology, high index of suspicion, appropriate usage of diagnostic modalities and initiation of measures for source control are recognised as the tools that help in achieving better results in the treatment of Intra abdominal abscess.</w:t>
      </w:r>
    </w:p>
    <w:p>
      <w:pPr>
        <w:pStyle w:val="Body A"/>
        <w:spacing w:line="360" w:lineRule="auto"/>
        <w:rPr>
          <w:sz w:val="30"/>
          <w:szCs w:val="30"/>
        </w:rPr>
      </w:pPr>
      <w:r>
        <w:rPr>
          <w:sz w:val="30"/>
          <w:szCs w:val="30"/>
          <w:rtl w:val="0"/>
          <w:lang w:val="en-US"/>
        </w:rPr>
        <w:t xml:space="preserve">A retrospective analysis of records of 30 </w:t>
      </w:r>
      <w:r>
        <w:rPr>
          <w:sz w:val="30"/>
          <w:szCs w:val="30"/>
          <w:rtl w:val="0"/>
          <w:lang w:val="fr-FR"/>
        </w:rPr>
        <w:t>patients</w:t>
      </w:r>
      <w:r>
        <w:rPr>
          <w:sz w:val="30"/>
          <w:szCs w:val="30"/>
          <w:rtl w:val="0"/>
          <w:lang w:val="en-US"/>
        </w:rPr>
        <w:t xml:space="preserve"> treated at our institute during the last 3 years is carried out define the criteria for: a) the clinical and laboratory findings should rise the index of suspicion, b) appropriate and cost effective use of diagnostic methods and  c) selection and evaluation of appropriate  treatment modality to suit the clinical situation. </w:t>
      </w:r>
    </w:p>
    <w:p>
      <w:pPr>
        <w:pStyle w:val="Body A"/>
        <w:spacing w:line="360" w:lineRule="auto"/>
      </w:pPr>
      <w:r>
        <w:rPr>
          <w:sz w:val="30"/>
          <w:szCs w:val="30"/>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