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E52" w:rsidRDefault="00D65E52" w:rsidP="00F648C9">
      <w:pPr>
        <w:bidi w:val="0"/>
        <w:spacing w:line="240" w:lineRule="auto"/>
        <w:jc w:val="both"/>
        <w:rPr>
          <w:rFonts w:cstheme="minorHAnsi"/>
          <w:b/>
          <w:bCs/>
          <w:sz w:val="20"/>
          <w:szCs w:val="20"/>
        </w:rPr>
      </w:pPr>
      <w:r w:rsidRPr="00D65E52">
        <w:rPr>
          <w:rFonts w:cstheme="minorHAnsi"/>
          <w:b/>
          <w:bCs/>
          <w:noProof/>
          <w:sz w:val="20"/>
          <w:szCs w:val="20"/>
        </w:rPr>
        <w:pict>
          <v:shapetype id="_x0000_t202" coordsize="21600,21600" o:spt="202" path="m,l,21600r21600,l21600,xe">
            <v:stroke joinstyle="miter"/>
            <v:path gradientshapeok="t" o:connecttype="rect"/>
          </v:shapetype>
          <v:shape id="_x0000_s1028" type="#_x0000_t202" style="position:absolute;left:0;text-align:left;margin-left:-3.05pt;margin-top:-74.55pt;width:547.35pt;height:78.55pt;z-index:251658240" stroked="f">
            <v:textbox style="mso-next-textbox:#_x0000_s1028">
              <w:txbxContent>
                <w:p w:rsidR="00F648C9" w:rsidRPr="00D65E52" w:rsidRDefault="00F648C9" w:rsidP="00F648C9">
                  <w:pPr>
                    <w:bidi w:val="0"/>
                    <w:spacing w:after="0" w:line="240" w:lineRule="auto"/>
                    <w:rPr>
                      <w:rFonts w:eastAsiaTheme="minorEastAsia" w:cstheme="minorHAnsi"/>
                      <w:kern w:val="24"/>
                      <w:sz w:val="32"/>
                      <w:szCs w:val="32"/>
                      <w:lang w:bidi="ar-AE"/>
                    </w:rPr>
                  </w:pPr>
                  <w:r w:rsidRPr="00D65E52">
                    <w:rPr>
                      <w:rFonts w:eastAsiaTheme="minorEastAsia" w:cstheme="minorHAnsi"/>
                      <w:b/>
                      <w:bCs/>
                      <w:kern w:val="24"/>
                      <w:sz w:val="32"/>
                      <w:szCs w:val="32"/>
                      <w:lang w:bidi="ar-AE"/>
                    </w:rPr>
                    <w:t xml:space="preserve">Occult Hepatitis C Virus Infection in Patients with Malignant </w:t>
                  </w:r>
                  <w:proofErr w:type="spellStart"/>
                  <w:r w:rsidRPr="00D65E52">
                    <w:rPr>
                      <w:rFonts w:eastAsiaTheme="minorEastAsia" w:cstheme="minorHAnsi"/>
                      <w:b/>
                      <w:bCs/>
                      <w:kern w:val="24"/>
                      <w:sz w:val="32"/>
                      <w:szCs w:val="32"/>
                      <w:lang w:bidi="ar-AE"/>
                    </w:rPr>
                    <w:t>Lymphoproliferative</w:t>
                  </w:r>
                  <w:proofErr w:type="spellEnd"/>
                  <w:r w:rsidRPr="00D65E52">
                    <w:rPr>
                      <w:rFonts w:eastAsiaTheme="minorEastAsia" w:cstheme="minorHAnsi"/>
                      <w:b/>
                      <w:bCs/>
                      <w:kern w:val="24"/>
                      <w:sz w:val="32"/>
                      <w:szCs w:val="32"/>
                      <w:lang w:bidi="ar-AE"/>
                    </w:rPr>
                    <w:t xml:space="preserve"> Disorders</w:t>
                  </w:r>
                </w:p>
                <w:p w:rsidR="00F648C9" w:rsidRPr="00D65E52" w:rsidRDefault="00F648C9" w:rsidP="00F648C9">
                  <w:pPr>
                    <w:bidi w:val="0"/>
                    <w:spacing w:after="0" w:line="240" w:lineRule="auto"/>
                    <w:rPr>
                      <w:rFonts w:eastAsiaTheme="minorEastAsia" w:cstheme="minorHAnsi"/>
                      <w:kern w:val="24"/>
                      <w:sz w:val="24"/>
                      <w:szCs w:val="24"/>
                      <w:lang w:bidi="ar-AE"/>
                    </w:rPr>
                  </w:pPr>
                  <w:proofErr w:type="spellStart"/>
                  <w:r w:rsidRPr="00D65E52">
                    <w:rPr>
                      <w:rFonts w:eastAsiaTheme="minorEastAsia" w:cstheme="minorHAnsi"/>
                      <w:kern w:val="24"/>
                      <w:sz w:val="24"/>
                      <w:szCs w:val="24"/>
                      <w:lang w:bidi="ar-AE"/>
                    </w:rPr>
                    <w:t>Hisham</w:t>
                  </w:r>
                  <w:proofErr w:type="spellEnd"/>
                  <w:r w:rsidRPr="00D65E52">
                    <w:rPr>
                      <w:rFonts w:eastAsiaTheme="minorEastAsia" w:cstheme="minorHAnsi"/>
                      <w:kern w:val="24"/>
                      <w:sz w:val="24"/>
                      <w:szCs w:val="24"/>
                      <w:lang w:bidi="ar-AE"/>
                    </w:rPr>
                    <w:t xml:space="preserve"> </w:t>
                  </w:r>
                  <w:proofErr w:type="spellStart"/>
                  <w:r w:rsidRPr="00D65E52">
                    <w:rPr>
                      <w:rFonts w:eastAsiaTheme="minorEastAsia" w:cstheme="minorHAnsi"/>
                      <w:kern w:val="24"/>
                      <w:sz w:val="24"/>
                      <w:szCs w:val="24"/>
                      <w:lang w:bidi="ar-AE"/>
                    </w:rPr>
                    <w:t>Abdelaziz</w:t>
                  </w:r>
                  <w:proofErr w:type="spellEnd"/>
                  <w:r w:rsidRPr="00D65E52">
                    <w:rPr>
                      <w:rFonts w:eastAsiaTheme="minorEastAsia" w:cstheme="minorHAnsi"/>
                      <w:kern w:val="24"/>
                      <w:sz w:val="24"/>
                      <w:szCs w:val="24"/>
                      <w:lang w:bidi="ar-AE"/>
                    </w:rPr>
                    <w:t xml:space="preserve">, </w:t>
                  </w:r>
                  <w:proofErr w:type="spellStart"/>
                  <w:r w:rsidRPr="00D65E52">
                    <w:rPr>
                      <w:rFonts w:eastAsiaTheme="minorEastAsia" w:cstheme="minorHAnsi"/>
                      <w:kern w:val="24"/>
                      <w:sz w:val="24"/>
                      <w:szCs w:val="24"/>
                      <w:lang w:bidi="ar-AE"/>
                    </w:rPr>
                    <w:t>Mahmoud</w:t>
                  </w:r>
                  <w:proofErr w:type="spellEnd"/>
                  <w:r w:rsidRPr="00D65E52">
                    <w:rPr>
                      <w:rFonts w:eastAsiaTheme="minorEastAsia" w:cstheme="minorHAnsi"/>
                      <w:kern w:val="24"/>
                      <w:sz w:val="24"/>
                      <w:szCs w:val="24"/>
                      <w:lang w:bidi="ar-AE"/>
                    </w:rPr>
                    <w:t xml:space="preserve"> Mohamed </w:t>
                  </w:r>
                  <w:proofErr w:type="spellStart"/>
                  <w:r w:rsidRPr="00D65E52">
                    <w:rPr>
                      <w:rFonts w:eastAsiaTheme="minorEastAsia" w:cstheme="minorHAnsi"/>
                      <w:kern w:val="24"/>
                      <w:sz w:val="24"/>
                      <w:szCs w:val="24"/>
                      <w:lang w:bidi="ar-AE"/>
                    </w:rPr>
                    <w:t>kamel</w:t>
                  </w:r>
                  <w:proofErr w:type="spellEnd"/>
                </w:p>
                <w:p w:rsidR="00F648C9" w:rsidRPr="00D65E52" w:rsidRDefault="00F648C9" w:rsidP="00F648C9">
                  <w:pPr>
                    <w:bidi w:val="0"/>
                    <w:spacing w:line="240" w:lineRule="auto"/>
                    <w:jc w:val="both"/>
                    <w:rPr>
                      <w:rFonts w:eastAsiaTheme="minorEastAsia" w:cstheme="minorHAnsi"/>
                      <w:kern w:val="24"/>
                      <w:sz w:val="24"/>
                      <w:szCs w:val="24"/>
                      <w:lang w:bidi="ar-AE"/>
                    </w:rPr>
                  </w:pPr>
                  <w:r w:rsidRPr="00D65E52">
                    <w:rPr>
                      <w:rFonts w:eastAsiaTheme="minorEastAsia" w:cstheme="minorHAnsi"/>
                      <w:kern w:val="24"/>
                      <w:sz w:val="24"/>
                      <w:szCs w:val="24"/>
                      <w:lang w:bidi="ar-AE"/>
                    </w:rPr>
                    <w:t>Department of Clinical Pathology, National Cancer Institute, University of Cairo, Egypt</w:t>
                  </w:r>
                </w:p>
                <w:p w:rsidR="00F648C9" w:rsidRPr="00D65E52" w:rsidRDefault="00F648C9">
                  <w:pPr>
                    <w:rPr>
                      <w:rFonts w:cstheme="minorHAnsi"/>
                      <w:sz w:val="28"/>
                      <w:szCs w:val="28"/>
                    </w:rPr>
                  </w:pPr>
                </w:p>
              </w:txbxContent>
            </v:textbox>
          </v:shape>
        </w:pict>
      </w:r>
    </w:p>
    <w:p w:rsidR="00FA732F" w:rsidRPr="00B93FF8" w:rsidRDefault="00FA732F" w:rsidP="00D65E52">
      <w:pPr>
        <w:bidi w:val="0"/>
        <w:spacing w:line="240" w:lineRule="auto"/>
        <w:jc w:val="both"/>
        <w:rPr>
          <w:rFonts w:cstheme="minorHAnsi"/>
          <w:b/>
          <w:bCs/>
        </w:rPr>
      </w:pPr>
      <w:r w:rsidRPr="00B93FF8">
        <w:rPr>
          <w:rFonts w:cstheme="minorHAnsi"/>
          <w:b/>
          <w:bCs/>
        </w:rPr>
        <w:t>Abstract</w:t>
      </w:r>
    </w:p>
    <w:p w:rsidR="00B93FF8" w:rsidRPr="00474311" w:rsidRDefault="00B93FF8" w:rsidP="00B93FF8">
      <w:pPr>
        <w:bidi w:val="0"/>
        <w:spacing w:before="240" w:line="240" w:lineRule="auto"/>
        <w:ind w:firstLine="720"/>
        <w:jc w:val="both"/>
        <w:rPr>
          <w:rFonts w:cstheme="minorHAnsi"/>
          <w:sz w:val="20"/>
          <w:szCs w:val="20"/>
          <w:shd w:val="clear" w:color="auto" w:fill="FFFFFF"/>
        </w:rPr>
      </w:pPr>
      <w:r w:rsidRPr="00474311">
        <w:rPr>
          <w:rFonts w:cstheme="minorHAnsi"/>
          <w:b/>
          <w:bCs/>
          <w:sz w:val="20"/>
          <w:szCs w:val="20"/>
        </w:rPr>
        <w:t>Introduction:</w:t>
      </w:r>
      <w:r w:rsidRPr="00474311">
        <w:rPr>
          <w:rFonts w:cstheme="minorHAnsi"/>
          <w:sz w:val="20"/>
          <w:szCs w:val="20"/>
        </w:rPr>
        <w:t xml:space="preserve"> Egypt has the highest prevalence of HCV in the world, estimated nationally at 14.7%</w:t>
      </w:r>
      <w:r w:rsidRPr="00474311">
        <w:rPr>
          <w:rFonts w:eastAsia="Times New Roman" w:cstheme="minorHAnsi"/>
          <w:b/>
          <w:bCs/>
          <w:sz w:val="20"/>
          <w:szCs w:val="20"/>
        </w:rPr>
        <w:t>.</w:t>
      </w:r>
      <w:r w:rsidRPr="00474311">
        <w:rPr>
          <w:rFonts w:eastAsia="Times New Roman" w:cstheme="minorHAnsi"/>
          <w:spacing w:val="-4"/>
          <w:sz w:val="20"/>
          <w:szCs w:val="20"/>
        </w:rPr>
        <w:t xml:space="preserve"> Occult hepatitis C virus infection (OCI), </w:t>
      </w:r>
      <w:r w:rsidRPr="00474311">
        <w:rPr>
          <w:rFonts w:eastAsia="Times New Roman" w:cstheme="minorHAnsi"/>
          <w:spacing w:val="-4"/>
          <w:sz w:val="20"/>
          <w:szCs w:val="20"/>
          <w:lang w:eastAsia="ar-SA"/>
        </w:rPr>
        <w:t>defined as the presence of HCV RNA in liver and in peripheral blood mononuclear cells (PBMCs) in the absence of detectable viral RNA in serum.</w:t>
      </w:r>
      <w:r w:rsidRPr="00474311">
        <w:rPr>
          <w:rFonts w:eastAsia="Times New Roman" w:cstheme="minorHAnsi"/>
          <w:b/>
          <w:bCs/>
          <w:sz w:val="20"/>
          <w:szCs w:val="20"/>
        </w:rPr>
        <w:t xml:space="preserve"> </w:t>
      </w:r>
      <w:r w:rsidRPr="00474311">
        <w:rPr>
          <w:rFonts w:eastAsia="Times New Roman" w:cstheme="minorHAnsi"/>
          <w:sz w:val="20"/>
          <w:szCs w:val="20"/>
        </w:rPr>
        <w:t>T</w:t>
      </w:r>
      <w:r w:rsidRPr="00474311">
        <w:rPr>
          <w:rFonts w:eastAsia="CapitoliumNews-Regular" w:cstheme="minorHAnsi"/>
          <w:sz w:val="20"/>
          <w:szCs w:val="20"/>
        </w:rPr>
        <w:t xml:space="preserve">he association between OCI and </w:t>
      </w:r>
      <w:r w:rsidRPr="00474311">
        <w:rPr>
          <w:rFonts w:eastAsia="Times New Roman" w:cstheme="minorHAnsi"/>
          <w:sz w:val="20"/>
          <w:szCs w:val="20"/>
          <w:lang w:eastAsia="ar-SA"/>
        </w:rPr>
        <w:t>malignant LPDs remain to be further investigated</w:t>
      </w:r>
      <w:r w:rsidRPr="00474311">
        <w:rPr>
          <w:rFonts w:eastAsia="Times New Roman" w:cstheme="minorHAnsi"/>
          <w:b/>
          <w:bCs/>
          <w:i/>
          <w:iCs/>
          <w:w w:val="119"/>
          <w:sz w:val="20"/>
          <w:szCs w:val="20"/>
          <w:lang w:eastAsia="ar-SA"/>
        </w:rPr>
        <w:t>.</w:t>
      </w:r>
      <w:r w:rsidRPr="00474311">
        <w:rPr>
          <w:rFonts w:eastAsia="Times New Roman" w:cstheme="minorHAnsi"/>
          <w:b/>
          <w:bCs/>
          <w:w w:val="119"/>
          <w:sz w:val="20"/>
          <w:szCs w:val="20"/>
          <w:lang w:eastAsia="ar-SA"/>
        </w:rPr>
        <w:t xml:space="preserve"> </w:t>
      </w:r>
      <w:r w:rsidRPr="00474311">
        <w:rPr>
          <w:rFonts w:eastAsia="Times New Roman" w:cstheme="minorHAnsi"/>
          <w:b/>
          <w:bCs/>
          <w:sz w:val="20"/>
          <w:szCs w:val="20"/>
        </w:rPr>
        <w:t xml:space="preserve">Methods: </w:t>
      </w:r>
      <w:r w:rsidRPr="00474311">
        <w:rPr>
          <w:rFonts w:cstheme="minorHAnsi"/>
          <w:sz w:val="20"/>
          <w:szCs w:val="20"/>
          <w:lang w:bidi="ar-EG"/>
        </w:rPr>
        <w:t xml:space="preserve">This study was </w:t>
      </w:r>
      <w:r w:rsidRPr="00474311">
        <w:rPr>
          <w:rFonts w:cstheme="minorHAnsi"/>
          <w:sz w:val="20"/>
          <w:szCs w:val="20"/>
          <w:lang w:val="en-PH"/>
        </w:rPr>
        <w:t>conducted</w:t>
      </w:r>
      <w:r w:rsidRPr="00474311">
        <w:rPr>
          <w:rFonts w:cstheme="minorHAnsi"/>
          <w:sz w:val="20"/>
          <w:szCs w:val="20"/>
          <w:lang w:bidi="ar-EG"/>
        </w:rPr>
        <w:t xml:space="preserve"> on 32 newly diagnosed patients with LPDs obtained from National Cancer Institute, </w:t>
      </w:r>
      <w:r w:rsidRPr="00474311">
        <w:rPr>
          <w:rFonts w:cstheme="minorHAnsi"/>
          <w:sz w:val="20"/>
          <w:szCs w:val="20"/>
        </w:rPr>
        <w:t>Cairo University</w:t>
      </w:r>
      <w:r w:rsidRPr="00474311">
        <w:rPr>
          <w:rFonts w:cstheme="minorHAnsi"/>
          <w:sz w:val="20"/>
          <w:szCs w:val="20"/>
          <w:lang w:bidi="ar-EG"/>
        </w:rPr>
        <w:t xml:space="preserve"> </w:t>
      </w:r>
      <w:r w:rsidRPr="00474311">
        <w:rPr>
          <w:rFonts w:cstheme="minorHAnsi"/>
          <w:sz w:val="20"/>
          <w:szCs w:val="20"/>
        </w:rPr>
        <w:t xml:space="preserve">and 27 Healthy </w:t>
      </w:r>
      <w:proofErr w:type="gramStart"/>
      <w:r w:rsidRPr="00474311">
        <w:rPr>
          <w:rFonts w:cstheme="minorHAnsi"/>
          <w:sz w:val="20"/>
          <w:szCs w:val="20"/>
        </w:rPr>
        <w:t>control</w:t>
      </w:r>
      <w:proofErr w:type="gramEnd"/>
      <w:r w:rsidRPr="00474311">
        <w:rPr>
          <w:rFonts w:cstheme="minorHAnsi"/>
          <w:sz w:val="20"/>
          <w:szCs w:val="20"/>
        </w:rPr>
        <w:t>.</w:t>
      </w:r>
      <w:r w:rsidRPr="00474311">
        <w:rPr>
          <w:rStyle w:val="Emphasis"/>
          <w:rFonts w:cstheme="minorHAnsi"/>
          <w:b/>
          <w:bCs/>
          <w:sz w:val="20"/>
          <w:szCs w:val="20"/>
        </w:rPr>
        <w:t xml:space="preserve"> </w:t>
      </w:r>
      <w:r w:rsidRPr="00474311">
        <w:rPr>
          <w:rStyle w:val="Emphasis"/>
          <w:rFonts w:cstheme="minorHAnsi"/>
          <w:sz w:val="20"/>
          <w:szCs w:val="20"/>
        </w:rPr>
        <w:t xml:space="preserve">Both patients and controls were subjected to: </w:t>
      </w:r>
      <w:r w:rsidRPr="00474311">
        <w:rPr>
          <w:rFonts w:cstheme="minorHAnsi"/>
          <w:sz w:val="20"/>
          <w:szCs w:val="20"/>
          <w:lang w:bidi="ar-EG"/>
        </w:rPr>
        <w:t xml:space="preserve">Detection of </w:t>
      </w:r>
      <w:proofErr w:type="spellStart"/>
      <w:r w:rsidRPr="00474311">
        <w:rPr>
          <w:rFonts w:cstheme="minorHAnsi"/>
          <w:sz w:val="20"/>
          <w:szCs w:val="20"/>
          <w:lang w:bidi="ar-EG"/>
        </w:rPr>
        <w:t>HBsAg</w:t>
      </w:r>
      <w:proofErr w:type="spellEnd"/>
      <w:r w:rsidRPr="00474311">
        <w:rPr>
          <w:rFonts w:cstheme="minorHAnsi"/>
          <w:sz w:val="20"/>
          <w:szCs w:val="20"/>
          <w:lang w:bidi="ar-EG"/>
        </w:rPr>
        <w:t xml:space="preserve">, HIV, </w:t>
      </w:r>
      <w:proofErr w:type="gramStart"/>
      <w:r w:rsidRPr="00474311">
        <w:rPr>
          <w:rFonts w:cstheme="minorHAnsi"/>
          <w:sz w:val="20"/>
          <w:szCs w:val="20"/>
          <w:lang w:bidi="ar-EG"/>
        </w:rPr>
        <w:t>EBV</w:t>
      </w:r>
      <w:proofErr w:type="gramEnd"/>
      <w:r w:rsidRPr="00474311">
        <w:rPr>
          <w:rFonts w:cstheme="minorHAnsi"/>
          <w:sz w:val="20"/>
          <w:szCs w:val="20"/>
          <w:lang w:bidi="ar-EG"/>
        </w:rPr>
        <w:t xml:space="preserve">, CMV antibodies by ELISA, Detection of HCV-RNA by PCR, Conventional and </w:t>
      </w:r>
      <w:proofErr w:type="spellStart"/>
      <w:r w:rsidRPr="00474311">
        <w:rPr>
          <w:rFonts w:cstheme="minorHAnsi"/>
          <w:sz w:val="20"/>
          <w:szCs w:val="20"/>
          <w:lang w:bidi="ar-EG"/>
        </w:rPr>
        <w:t>Immuno</w:t>
      </w:r>
      <w:proofErr w:type="spellEnd"/>
      <w:r w:rsidRPr="00474311">
        <w:rPr>
          <w:rFonts w:cstheme="minorHAnsi"/>
          <w:sz w:val="20"/>
          <w:szCs w:val="20"/>
          <w:lang w:bidi="ar-EG"/>
        </w:rPr>
        <w:t>-electron microscopy.</w:t>
      </w:r>
      <w:r w:rsidRPr="00474311">
        <w:rPr>
          <w:rFonts w:cstheme="minorHAnsi"/>
          <w:b/>
          <w:bCs/>
          <w:sz w:val="20"/>
          <w:szCs w:val="20"/>
          <w:lang w:bidi="ar-EG"/>
        </w:rPr>
        <w:t xml:space="preserve"> Results</w:t>
      </w:r>
      <w:r w:rsidRPr="00474311">
        <w:rPr>
          <w:rFonts w:cstheme="minorHAnsi"/>
          <w:sz w:val="20"/>
          <w:szCs w:val="20"/>
          <w:lang w:bidi="ar-EG"/>
        </w:rPr>
        <w:t xml:space="preserve">: </w:t>
      </w:r>
      <w:r w:rsidRPr="00474311">
        <w:rPr>
          <w:rFonts w:cstheme="minorHAnsi"/>
          <w:sz w:val="20"/>
          <w:szCs w:val="20"/>
        </w:rPr>
        <w:t xml:space="preserve">Patients were divided into 3 groups; Group 1: positive OCI </w:t>
      </w:r>
      <w:r w:rsidRPr="00474311">
        <w:rPr>
          <w:rFonts w:cstheme="minorHAnsi"/>
          <w:sz w:val="20"/>
          <w:szCs w:val="20"/>
          <w:lang w:bidi="ar-EG"/>
        </w:rPr>
        <w:t xml:space="preserve">LPD patients, </w:t>
      </w:r>
      <w:r w:rsidRPr="00474311">
        <w:rPr>
          <w:rFonts w:cstheme="minorHAnsi"/>
          <w:sz w:val="20"/>
          <w:szCs w:val="20"/>
        </w:rPr>
        <w:t xml:space="preserve">Group 2: positive HCV </w:t>
      </w:r>
      <w:r w:rsidRPr="00474311">
        <w:rPr>
          <w:rFonts w:cstheme="minorHAnsi"/>
          <w:sz w:val="20"/>
          <w:szCs w:val="20"/>
          <w:lang w:bidi="ar-EG"/>
        </w:rPr>
        <w:t xml:space="preserve">LPD patients, </w:t>
      </w:r>
      <w:r w:rsidRPr="00474311">
        <w:rPr>
          <w:rFonts w:cstheme="minorHAnsi"/>
          <w:sz w:val="20"/>
          <w:szCs w:val="20"/>
        </w:rPr>
        <w:t xml:space="preserve">Group 3: negative OCI/negative HCV LPD Patients. LPD patients showed a significantly higher percentage of positive OCI (12 patients, 37.5%) and positive HCV (11 patients, 34.38%) compared to the control group (0%) </w:t>
      </w:r>
      <w:proofErr w:type="gramStart"/>
      <w:r w:rsidRPr="00474311">
        <w:rPr>
          <w:rFonts w:cstheme="minorHAnsi"/>
          <w:sz w:val="20"/>
          <w:szCs w:val="20"/>
        </w:rPr>
        <w:t>(p &lt;0.001).</w:t>
      </w:r>
      <w:proofErr w:type="gramEnd"/>
      <w:r w:rsidRPr="00474311">
        <w:rPr>
          <w:rFonts w:cstheme="minorHAnsi"/>
          <w:sz w:val="20"/>
          <w:szCs w:val="20"/>
        </w:rPr>
        <w:t xml:space="preserve"> Nine (28.13%) of LPD patients showed neither OCI nor HCV infection compared to 27 (100%) of controls (p &lt;0.001)</w:t>
      </w:r>
      <w:r w:rsidRPr="00474311">
        <w:rPr>
          <w:rFonts w:cstheme="minorHAnsi"/>
          <w:b/>
          <w:bCs/>
          <w:sz w:val="20"/>
          <w:szCs w:val="20"/>
          <w:lang w:bidi="ar-EG"/>
        </w:rPr>
        <w:t xml:space="preserve">. </w:t>
      </w:r>
      <w:r w:rsidRPr="00474311">
        <w:rPr>
          <w:rFonts w:cstheme="minorHAnsi"/>
          <w:sz w:val="20"/>
          <w:szCs w:val="20"/>
        </w:rPr>
        <w:t xml:space="preserve">Positive OCI group also showed a significantly higher percentage of positive HCV PCR in PBMCs and significantly higher copy number of HCV in PBMCs compared to the negative OCI/negative HCV LPD group. </w:t>
      </w:r>
      <w:proofErr w:type="spellStart"/>
      <w:r w:rsidRPr="00474311">
        <w:rPr>
          <w:rFonts w:cstheme="minorHAnsi"/>
          <w:sz w:val="20"/>
          <w:szCs w:val="20"/>
        </w:rPr>
        <w:t>Ultrastructural</w:t>
      </w:r>
      <w:proofErr w:type="spellEnd"/>
      <w:r w:rsidRPr="00474311">
        <w:rPr>
          <w:rFonts w:cstheme="minorHAnsi"/>
          <w:sz w:val="20"/>
          <w:szCs w:val="20"/>
        </w:rPr>
        <w:t xml:space="preserve"> examination of PBMCs revealed the presence of </w:t>
      </w:r>
      <w:proofErr w:type="spellStart"/>
      <w:r w:rsidRPr="00474311">
        <w:rPr>
          <w:rFonts w:cstheme="minorHAnsi"/>
          <w:sz w:val="20"/>
          <w:szCs w:val="20"/>
        </w:rPr>
        <w:t>intracytoplasmic</w:t>
      </w:r>
      <w:proofErr w:type="spellEnd"/>
      <w:r w:rsidRPr="00474311">
        <w:rPr>
          <w:rFonts w:cstheme="minorHAnsi"/>
          <w:sz w:val="20"/>
          <w:szCs w:val="20"/>
        </w:rPr>
        <w:t xml:space="preserve"> vacuoles enclosing viral like particles, which were more in positive HCV patients than those seen in positive OCI patients. </w:t>
      </w:r>
      <w:r w:rsidRPr="00474311">
        <w:rPr>
          <w:rFonts w:cstheme="minorHAnsi"/>
          <w:b/>
          <w:bCs/>
          <w:sz w:val="20"/>
          <w:szCs w:val="20"/>
          <w:shd w:val="clear" w:color="auto" w:fill="FFFFFF"/>
        </w:rPr>
        <w:t>Conclusion</w:t>
      </w:r>
      <w:r w:rsidRPr="00474311">
        <w:rPr>
          <w:rFonts w:cstheme="minorHAnsi"/>
          <w:sz w:val="20"/>
          <w:szCs w:val="20"/>
          <w:shd w:val="clear" w:color="auto" w:fill="FFFFFF"/>
        </w:rPr>
        <w:t>: The existence of OCI among Egyptian LPD patients. Therefore, the possibility of OCI should be considered in patients with LPDs which can lead to relapse or cause overt infection even after treatment. Also, may help in the choice of treatment modalities (immunotherapy, chemotherapy and antiviral therapy).</w:t>
      </w:r>
    </w:p>
    <w:p w:rsidR="00FA732F" w:rsidRDefault="00474311" w:rsidP="00F648C9">
      <w:pPr>
        <w:bidi w:val="0"/>
        <w:spacing w:before="240" w:line="240" w:lineRule="auto"/>
        <w:ind w:firstLine="720"/>
        <w:jc w:val="both"/>
        <w:rPr>
          <w:rFonts w:cstheme="minorHAnsi"/>
          <w:sz w:val="20"/>
          <w:szCs w:val="20"/>
          <w:shd w:val="clear" w:color="auto" w:fill="FFFFFF"/>
        </w:rPr>
      </w:pPr>
      <w:r w:rsidRPr="00D65E52">
        <w:rPr>
          <w:rFonts w:cstheme="minorHAnsi"/>
          <w:b/>
          <w:bCs/>
          <w:noProof/>
          <w:sz w:val="20"/>
          <w:szCs w:val="20"/>
        </w:rPr>
        <w:pict>
          <v:shape id="_x0000_s1030" type="#_x0000_t202" style="position:absolute;left:0;text-align:left;margin-left:9.8pt;margin-top:48.2pt;width:517.1pt;height:162.7pt;z-index:251659264" stroked="f">
            <v:textbox style="mso-next-textbox:#_x0000_s1030">
              <w:txbxContent>
                <w:p w:rsidR="00B93FF8" w:rsidRDefault="00D65E52" w:rsidP="00B93FF8">
                  <w:pPr>
                    <w:bidi w:val="0"/>
                    <w:rPr>
                      <w:sz w:val="28"/>
                      <w:szCs w:val="28"/>
                    </w:rPr>
                  </w:pPr>
                  <w:r>
                    <w:rPr>
                      <w:noProof/>
                      <w:sz w:val="28"/>
                      <w:szCs w:val="28"/>
                    </w:rPr>
                    <w:drawing>
                      <wp:inline distT="0" distB="0" distL="0" distR="0">
                        <wp:extent cx="675650" cy="903384"/>
                        <wp:effectExtent l="38100" t="19050" r="10150" b="11016"/>
                        <wp:docPr id="2" name="Picture 1" descr="C:\Users\hisham.aelaziz\Desktop\certificates\personal photo white c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sham.aelaziz\Desktop\certificates\personal photo white coat.jpg"/>
                                <pic:cNvPicPr>
                                  <a:picLocks noChangeAspect="1" noChangeArrowheads="1"/>
                                </pic:cNvPicPr>
                              </pic:nvPicPr>
                              <pic:blipFill>
                                <a:blip r:embed="rId7"/>
                                <a:srcRect/>
                                <a:stretch>
                                  <a:fillRect/>
                                </a:stretch>
                              </pic:blipFill>
                              <pic:spPr bwMode="auto">
                                <a:xfrm>
                                  <a:off x="0" y="0"/>
                                  <a:ext cx="677667" cy="906081"/>
                                </a:xfrm>
                                <a:prstGeom prst="rect">
                                  <a:avLst/>
                                </a:prstGeom>
                                <a:noFill/>
                                <a:ln w="3175">
                                  <a:solidFill>
                                    <a:schemeClr val="tx1"/>
                                  </a:solidFill>
                                  <a:miter lim="800000"/>
                                  <a:headEnd/>
                                  <a:tailEnd/>
                                </a:ln>
                              </pic:spPr>
                            </pic:pic>
                          </a:graphicData>
                        </a:graphic>
                      </wp:inline>
                    </w:drawing>
                  </w:r>
                  <w:r w:rsidR="00B93FF8">
                    <w:rPr>
                      <w:sz w:val="28"/>
                      <w:szCs w:val="28"/>
                    </w:rPr>
                    <w:t xml:space="preserve"> </w:t>
                  </w:r>
                  <w:r w:rsidRPr="00BF0CB7">
                    <w:rPr>
                      <w:sz w:val="28"/>
                      <w:szCs w:val="28"/>
                    </w:rPr>
                    <w:t>Biography</w:t>
                  </w:r>
                </w:p>
                <w:p w:rsidR="00D65E52" w:rsidRPr="00B93FF8" w:rsidRDefault="00B93FF8" w:rsidP="00474311">
                  <w:pPr>
                    <w:bidi w:val="0"/>
                    <w:spacing w:after="0" w:line="240" w:lineRule="auto"/>
                    <w:rPr>
                      <w:sz w:val="28"/>
                      <w:szCs w:val="28"/>
                    </w:rPr>
                  </w:pPr>
                  <w:r>
                    <w:rPr>
                      <w:sz w:val="28"/>
                      <w:szCs w:val="28"/>
                    </w:rPr>
                    <w:t xml:space="preserve"> </w:t>
                  </w:r>
                  <w:r w:rsidR="00D65E52" w:rsidRPr="00457413">
                    <w:rPr>
                      <w:sz w:val="20"/>
                      <w:szCs w:val="20"/>
                    </w:rPr>
                    <w:t xml:space="preserve">Dr. </w:t>
                  </w:r>
                  <w:proofErr w:type="spellStart"/>
                  <w:r w:rsidR="00D65E52" w:rsidRPr="00457413">
                    <w:rPr>
                      <w:sz w:val="20"/>
                      <w:szCs w:val="20"/>
                    </w:rPr>
                    <w:t>Hisham</w:t>
                  </w:r>
                  <w:proofErr w:type="spellEnd"/>
                  <w:r w:rsidR="00D65E52" w:rsidRPr="00457413">
                    <w:rPr>
                      <w:sz w:val="20"/>
                      <w:szCs w:val="20"/>
                    </w:rPr>
                    <w:t xml:space="preserve"> </w:t>
                  </w:r>
                  <w:proofErr w:type="spellStart"/>
                  <w:r w:rsidR="00D65E52" w:rsidRPr="00457413">
                    <w:rPr>
                      <w:sz w:val="20"/>
                      <w:szCs w:val="20"/>
                    </w:rPr>
                    <w:t>Abdelaziz</w:t>
                  </w:r>
                  <w:proofErr w:type="spellEnd"/>
                  <w:r w:rsidR="00D65E52" w:rsidRPr="00457413">
                    <w:rPr>
                      <w:sz w:val="20"/>
                      <w:szCs w:val="20"/>
                    </w:rPr>
                    <w:t xml:space="preserve">, Assist. </w:t>
                  </w:r>
                  <w:proofErr w:type="gramStart"/>
                  <w:r w:rsidR="00D65E52" w:rsidRPr="00457413">
                    <w:rPr>
                      <w:sz w:val="20"/>
                      <w:szCs w:val="20"/>
                    </w:rPr>
                    <w:t>Professor of clinical pathology/hematology in National Cancer Institute, Cairo University, Egypt.</w:t>
                  </w:r>
                  <w:proofErr w:type="gramEnd"/>
                  <w:r w:rsidR="00D65E52" w:rsidRPr="00457413">
                    <w:rPr>
                      <w:sz w:val="20"/>
                      <w:szCs w:val="20"/>
                    </w:rPr>
                    <w:t xml:space="preserve"> </w:t>
                  </w:r>
                  <w:proofErr w:type="gramStart"/>
                  <w:r w:rsidR="00D65E52" w:rsidRPr="00457413">
                    <w:rPr>
                      <w:sz w:val="20"/>
                      <w:szCs w:val="20"/>
                    </w:rPr>
                    <w:t>He  graduated</w:t>
                  </w:r>
                  <w:proofErr w:type="gramEnd"/>
                  <w:r w:rsidR="00D65E52" w:rsidRPr="00457413">
                    <w:rPr>
                      <w:sz w:val="20"/>
                      <w:szCs w:val="20"/>
                    </w:rPr>
                    <w:t xml:space="preserve"> from </w:t>
                  </w:r>
                  <w:proofErr w:type="spellStart"/>
                  <w:r w:rsidR="00D65E52" w:rsidRPr="00457413">
                    <w:rPr>
                      <w:sz w:val="20"/>
                      <w:szCs w:val="20"/>
                    </w:rPr>
                    <w:t>Kasr</w:t>
                  </w:r>
                  <w:proofErr w:type="spellEnd"/>
                  <w:r w:rsidR="00D65E52" w:rsidRPr="00457413">
                    <w:rPr>
                      <w:sz w:val="20"/>
                      <w:szCs w:val="20"/>
                    </w:rPr>
                    <w:t xml:space="preserve"> </w:t>
                  </w:r>
                  <w:proofErr w:type="spellStart"/>
                  <w:r w:rsidR="00D65E52" w:rsidRPr="00457413">
                    <w:rPr>
                      <w:sz w:val="20"/>
                      <w:szCs w:val="20"/>
                    </w:rPr>
                    <w:t>Alaini</w:t>
                  </w:r>
                  <w:proofErr w:type="spellEnd"/>
                  <w:r w:rsidR="00D65E52" w:rsidRPr="00457413">
                    <w:rPr>
                      <w:sz w:val="20"/>
                      <w:szCs w:val="20"/>
                    </w:rPr>
                    <w:t xml:space="preserve"> Medical School on 1996 and got his M.D. on 2018. He published many articles in Hematology, immunology and microbiology. He has a great</w:t>
                  </w:r>
                  <w:r w:rsidR="00D65E52">
                    <w:rPr>
                      <w:sz w:val="20"/>
                      <w:szCs w:val="20"/>
                    </w:rPr>
                    <w:t xml:space="preserve"> </w:t>
                  </w:r>
                  <w:r w:rsidR="00D65E52" w:rsidRPr="00457413">
                    <w:rPr>
                      <w:sz w:val="20"/>
                      <w:szCs w:val="20"/>
                    </w:rPr>
                    <w:t>talented experience in teaching hematology in addition to managerial studies,</w:t>
                  </w:r>
                  <w:r w:rsidR="00D65E52" w:rsidRPr="00457413">
                    <w:rPr>
                      <w:rFonts w:ascii="Arial" w:hAnsi="Arial" w:cs="Arial"/>
                      <w:sz w:val="20"/>
                      <w:szCs w:val="20"/>
                    </w:rPr>
                    <w:t xml:space="preserve"> </w:t>
                  </w:r>
                  <w:r w:rsidR="00D65E52" w:rsidRPr="00E9212D">
                    <w:rPr>
                      <w:sz w:val="20"/>
                      <w:szCs w:val="20"/>
                    </w:rPr>
                    <w:t>Total Quality Management, Assurance and safety measures</w:t>
                  </w:r>
                  <w:r w:rsidR="00D65E52" w:rsidRPr="00457413">
                    <w:rPr>
                      <w:sz w:val="20"/>
                      <w:szCs w:val="20"/>
                    </w:rPr>
                    <w:t xml:space="preserve">. </w:t>
                  </w:r>
                </w:p>
                <w:p w:rsidR="00D65E52" w:rsidRPr="00D65E52" w:rsidRDefault="00D65E52" w:rsidP="00D65E52">
                  <w:pPr>
                    <w:bidi w:val="0"/>
                    <w:spacing w:after="0" w:line="240" w:lineRule="auto"/>
                    <w:jc w:val="center"/>
                    <w:rPr>
                      <w:sz w:val="20"/>
                      <w:szCs w:val="20"/>
                    </w:rPr>
                  </w:pPr>
                  <w:r>
                    <w:rPr>
                      <w:sz w:val="20"/>
                      <w:szCs w:val="20"/>
                    </w:rPr>
                    <w:t>Email:   hishamaziz2002@yahoo.com</w:t>
                  </w:r>
                </w:p>
              </w:txbxContent>
            </v:textbox>
          </v:shape>
        </w:pict>
      </w:r>
      <w:r w:rsidR="00F648C9" w:rsidRPr="00D65E52">
        <w:rPr>
          <w:rFonts w:cstheme="minorHAnsi"/>
          <w:sz w:val="20"/>
          <w:szCs w:val="20"/>
          <w:shd w:val="clear" w:color="auto" w:fill="FFFFFF"/>
        </w:rPr>
        <w:br w:type="column"/>
      </w:r>
    </w:p>
    <w:p w:rsidR="00B93FF8" w:rsidRPr="00D65E52" w:rsidRDefault="00B93FF8" w:rsidP="00B93FF8">
      <w:pPr>
        <w:bidi w:val="0"/>
        <w:spacing w:before="240" w:line="240" w:lineRule="auto"/>
        <w:ind w:firstLine="720"/>
        <w:jc w:val="both"/>
        <w:rPr>
          <w:rFonts w:eastAsia="Times New Roman" w:cstheme="minorHAnsi"/>
          <w:b/>
          <w:bCs/>
          <w:w w:val="119"/>
          <w:sz w:val="20"/>
          <w:szCs w:val="20"/>
          <w:lang w:eastAsia="ar-SA"/>
        </w:rPr>
      </w:pPr>
    </w:p>
    <w:p w:rsidR="008503FD" w:rsidRPr="00D65E52" w:rsidRDefault="008503FD" w:rsidP="00B93FF8">
      <w:pPr>
        <w:jc w:val="center"/>
        <w:rPr>
          <w:rFonts w:cstheme="minorHAnsi"/>
          <w:sz w:val="20"/>
          <w:szCs w:val="20"/>
        </w:rPr>
      </w:pPr>
      <w:r w:rsidRPr="00D65E52">
        <w:rPr>
          <w:rFonts w:cstheme="minorHAnsi"/>
          <w:noProof/>
          <w:sz w:val="20"/>
          <w:szCs w:val="20"/>
        </w:rPr>
        <w:drawing>
          <wp:inline distT="0" distB="0" distL="0" distR="0">
            <wp:extent cx="3032907" cy="1579418"/>
            <wp:effectExtent l="19050" t="0" r="0" b="0"/>
            <wp:docPr id="1"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1.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47384" cy="1586957"/>
                    </a:xfrm>
                    <a:prstGeom prst="rect">
                      <a:avLst/>
                    </a:prstGeom>
                    <a:ln>
                      <a:noFill/>
                    </a:ln>
                  </pic:spPr>
                </pic:pic>
              </a:graphicData>
            </a:graphic>
          </wp:inline>
        </w:drawing>
      </w:r>
    </w:p>
    <w:p w:rsidR="00FA732F" w:rsidRPr="00D65E52" w:rsidRDefault="008503FD" w:rsidP="00FA732F">
      <w:pPr>
        <w:autoSpaceDE w:val="0"/>
        <w:autoSpaceDN w:val="0"/>
        <w:bidi w:val="0"/>
        <w:adjustRightInd w:val="0"/>
        <w:spacing w:before="120"/>
        <w:ind w:left="90" w:hanging="90"/>
        <w:jc w:val="both"/>
        <w:rPr>
          <w:rFonts w:eastAsia="Calibri" w:cstheme="minorHAnsi"/>
          <w:sz w:val="18"/>
          <w:szCs w:val="18"/>
        </w:rPr>
      </w:pPr>
      <w:bookmarkStart w:id="0" w:name="_Toc430199300"/>
      <w:r w:rsidRPr="00D65E52">
        <w:rPr>
          <w:rFonts w:cstheme="minorHAnsi"/>
          <w:b/>
          <w:bCs/>
          <w:sz w:val="18"/>
          <w:szCs w:val="18"/>
        </w:rPr>
        <w:t xml:space="preserve">Figure (1): </w:t>
      </w:r>
      <w:r w:rsidRPr="00D65E52">
        <w:rPr>
          <w:rFonts w:eastAsia="Calibri" w:cstheme="minorHAnsi"/>
          <w:sz w:val="18"/>
          <w:szCs w:val="18"/>
        </w:rPr>
        <w:t xml:space="preserve">TEM micrograph of a lymphocyte </w:t>
      </w:r>
      <w:r w:rsidRPr="00D65E52">
        <w:rPr>
          <w:rFonts w:cstheme="minorHAnsi"/>
          <w:sz w:val="18"/>
          <w:szCs w:val="18"/>
        </w:rPr>
        <w:t>isolated from a patient with OCI</w:t>
      </w:r>
      <w:r w:rsidR="00FA732F" w:rsidRPr="00D65E52">
        <w:rPr>
          <w:rFonts w:eastAsia="Calibri" w:cstheme="minorHAnsi"/>
          <w:sz w:val="18"/>
          <w:szCs w:val="18"/>
        </w:rPr>
        <w:t xml:space="preserve"> </w:t>
      </w:r>
      <w:r w:rsidRPr="00D65E52">
        <w:rPr>
          <w:rFonts w:eastAsia="Calibri" w:cstheme="minorHAnsi"/>
          <w:sz w:val="18"/>
          <w:szCs w:val="18"/>
        </w:rPr>
        <w:t>(Original magnification x11000)</w:t>
      </w:r>
      <w:bookmarkEnd w:id="0"/>
    </w:p>
    <w:p w:rsidR="008503FD" w:rsidRPr="00D65E52" w:rsidRDefault="008503FD" w:rsidP="00FA732F">
      <w:pPr>
        <w:widowControl w:val="0"/>
        <w:bidi w:val="0"/>
        <w:spacing w:after="0" w:line="240" w:lineRule="auto"/>
        <w:rPr>
          <w:rFonts w:cstheme="minorHAnsi"/>
          <w:b/>
          <w:sz w:val="20"/>
        </w:rPr>
      </w:pPr>
      <w:proofErr w:type="gramStart"/>
      <w:r w:rsidRPr="00D65E52">
        <w:rPr>
          <w:rFonts w:cstheme="minorHAnsi"/>
          <w:b/>
          <w:sz w:val="20"/>
        </w:rPr>
        <w:t>Recent  Publications</w:t>
      </w:r>
      <w:proofErr w:type="gramEnd"/>
      <w:r w:rsidRPr="00D65E52">
        <w:rPr>
          <w:rFonts w:cstheme="minorHAnsi"/>
          <w:b/>
          <w:sz w:val="20"/>
        </w:rPr>
        <w:t>:</w:t>
      </w:r>
    </w:p>
    <w:p w:rsidR="008503FD" w:rsidRPr="00D65E52" w:rsidRDefault="008503FD" w:rsidP="00907AD6">
      <w:pPr>
        <w:widowControl w:val="0"/>
        <w:numPr>
          <w:ilvl w:val="0"/>
          <w:numId w:val="1"/>
        </w:numPr>
        <w:bidi w:val="0"/>
        <w:spacing w:after="0" w:line="240" w:lineRule="auto"/>
        <w:jc w:val="both"/>
        <w:rPr>
          <w:rFonts w:cstheme="minorHAnsi"/>
          <w:bCs/>
          <w:sz w:val="20"/>
          <w:szCs w:val="20"/>
        </w:rPr>
      </w:pPr>
      <w:proofErr w:type="spellStart"/>
      <w:r w:rsidRPr="00D65E52">
        <w:rPr>
          <w:rFonts w:cstheme="minorHAnsi"/>
          <w:bCs/>
          <w:sz w:val="20"/>
          <w:szCs w:val="20"/>
        </w:rPr>
        <w:t>Abdelaziz</w:t>
      </w:r>
      <w:proofErr w:type="spellEnd"/>
      <w:r w:rsidRPr="00D65E52">
        <w:rPr>
          <w:rFonts w:cstheme="minorHAnsi"/>
          <w:bCs/>
          <w:sz w:val="20"/>
          <w:szCs w:val="20"/>
        </w:rPr>
        <w:t xml:space="preserve"> H, </w:t>
      </w:r>
      <w:proofErr w:type="spellStart"/>
      <w:r w:rsidRPr="00D65E52">
        <w:rPr>
          <w:rFonts w:cstheme="minorHAnsi"/>
          <w:bCs/>
          <w:sz w:val="20"/>
          <w:szCs w:val="20"/>
        </w:rPr>
        <w:t>Mahmoud</w:t>
      </w:r>
      <w:proofErr w:type="spellEnd"/>
      <w:r w:rsidRPr="00D65E52">
        <w:rPr>
          <w:rFonts w:cstheme="minorHAnsi"/>
          <w:bCs/>
          <w:sz w:val="20"/>
          <w:szCs w:val="20"/>
        </w:rPr>
        <w:t xml:space="preserve"> K (2014): P </w:t>
      </w:r>
      <w:proofErr w:type="spellStart"/>
      <w:r w:rsidRPr="00D65E52">
        <w:rPr>
          <w:rFonts w:cstheme="minorHAnsi"/>
          <w:bCs/>
          <w:sz w:val="20"/>
          <w:szCs w:val="20"/>
        </w:rPr>
        <w:t>selectin</w:t>
      </w:r>
      <w:proofErr w:type="spellEnd"/>
      <w:r w:rsidRPr="00D65E52">
        <w:rPr>
          <w:rFonts w:cstheme="minorHAnsi"/>
          <w:bCs/>
          <w:sz w:val="20"/>
          <w:szCs w:val="20"/>
        </w:rPr>
        <w:t xml:space="preserve"> and T cell profiles provide verification to understand the pathogenesis of liver cirrhosis in HCV and </w:t>
      </w:r>
      <w:proofErr w:type="spellStart"/>
      <w:r w:rsidRPr="00D65E52">
        <w:rPr>
          <w:rFonts w:cstheme="minorHAnsi"/>
          <w:bCs/>
          <w:sz w:val="20"/>
          <w:szCs w:val="20"/>
        </w:rPr>
        <w:t>Schistosoma</w:t>
      </w:r>
      <w:proofErr w:type="spellEnd"/>
      <w:r w:rsidRPr="00D65E52">
        <w:rPr>
          <w:rFonts w:cstheme="minorHAnsi"/>
          <w:bCs/>
          <w:sz w:val="20"/>
          <w:szCs w:val="20"/>
        </w:rPr>
        <w:t xml:space="preserve"> </w:t>
      </w:r>
      <w:proofErr w:type="spellStart"/>
      <w:r w:rsidRPr="00D65E52">
        <w:rPr>
          <w:rFonts w:cstheme="minorHAnsi"/>
          <w:bCs/>
          <w:sz w:val="20"/>
          <w:szCs w:val="20"/>
        </w:rPr>
        <w:t>mansoni</w:t>
      </w:r>
      <w:proofErr w:type="spellEnd"/>
      <w:r w:rsidRPr="00D65E52">
        <w:rPr>
          <w:rFonts w:cstheme="minorHAnsi"/>
          <w:bCs/>
          <w:sz w:val="20"/>
          <w:szCs w:val="20"/>
        </w:rPr>
        <w:t xml:space="preserve"> infections. Mic</w:t>
      </w:r>
      <w:r w:rsidR="00907AD6" w:rsidRPr="00D65E52">
        <w:rPr>
          <w:rFonts w:cstheme="minorHAnsi"/>
          <w:bCs/>
          <w:sz w:val="20"/>
          <w:szCs w:val="20"/>
        </w:rPr>
        <w:t>robial Pathogenesis, 73:</w:t>
      </w:r>
      <w:r w:rsidRPr="00D65E52">
        <w:rPr>
          <w:rFonts w:cstheme="minorHAnsi"/>
          <w:bCs/>
          <w:sz w:val="20"/>
          <w:szCs w:val="20"/>
        </w:rPr>
        <w:t>19–24.</w:t>
      </w:r>
    </w:p>
    <w:p w:rsidR="008503FD" w:rsidRPr="00D65E52" w:rsidRDefault="008503FD" w:rsidP="00907AD6">
      <w:pPr>
        <w:widowControl w:val="0"/>
        <w:numPr>
          <w:ilvl w:val="0"/>
          <w:numId w:val="1"/>
        </w:numPr>
        <w:bidi w:val="0"/>
        <w:spacing w:after="0" w:line="240" w:lineRule="auto"/>
        <w:jc w:val="both"/>
        <w:rPr>
          <w:rFonts w:cstheme="minorHAnsi"/>
          <w:bCs/>
          <w:sz w:val="20"/>
          <w:szCs w:val="20"/>
        </w:rPr>
      </w:pPr>
      <w:proofErr w:type="spellStart"/>
      <w:r w:rsidRPr="00D65E52">
        <w:rPr>
          <w:rFonts w:cstheme="minorHAnsi"/>
          <w:bCs/>
          <w:sz w:val="20"/>
          <w:szCs w:val="20"/>
        </w:rPr>
        <w:t>Abdelaziz</w:t>
      </w:r>
      <w:proofErr w:type="spellEnd"/>
      <w:r w:rsidRPr="00D65E52">
        <w:rPr>
          <w:rFonts w:cstheme="minorHAnsi"/>
          <w:bCs/>
          <w:sz w:val="20"/>
          <w:szCs w:val="20"/>
        </w:rPr>
        <w:t xml:space="preserve"> H (2014): HCV Signal-to-Cutoff Ratio in Predicting Hepatitis C </w:t>
      </w:r>
      <w:proofErr w:type="spellStart"/>
      <w:r w:rsidRPr="00D65E52">
        <w:rPr>
          <w:rFonts w:cstheme="minorHAnsi"/>
          <w:bCs/>
          <w:sz w:val="20"/>
          <w:szCs w:val="20"/>
        </w:rPr>
        <w:t>Viremia</w:t>
      </w:r>
      <w:proofErr w:type="spellEnd"/>
      <w:r w:rsidRPr="00D65E52">
        <w:rPr>
          <w:rFonts w:cstheme="minorHAnsi"/>
          <w:bCs/>
          <w:sz w:val="20"/>
          <w:szCs w:val="20"/>
        </w:rPr>
        <w:t xml:space="preserve">. The 25th Regional Congress of the ISBT, Amsterdam, May 30 – June 5, 2014.  </w:t>
      </w:r>
      <w:proofErr w:type="spellStart"/>
      <w:r w:rsidRPr="00D65E52">
        <w:rPr>
          <w:rFonts w:cstheme="minorHAnsi"/>
          <w:bCs/>
          <w:sz w:val="20"/>
          <w:szCs w:val="20"/>
        </w:rPr>
        <w:t>Vox</w:t>
      </w:r>
      <w:proofErr w:type="spellEnd"/>
      <w:r w:rsidRPr="00D65E52">
        <w:rPr>
          <w:rFonts w:cstheme="minorHAnsi"/>
          <w:bCs/>
          <w:sz w:val="20"/>
          <w:szCs w:val="20"/>
        </w:rPr>
        <w:t xml:space="preserve"> </w:t>
      </w:r>
      <w:proofErr w:type="spellStart"/>
      <w:r w:rsidRPr="00D65E52">
        <w:rPr>
          <w:rFonts w:cstheme="minorHAnsi"/>
          <w:bCs/>
          <w:sz w:val="20"/>
          <w:szCs w:val="20"/>
        </w:rPr>
        <w:t>Sanguinis</w:t>
      </w:r>
      <w:proofErr w:type="spellEnd"/>
      <w:r w:rsidRPr="00D65E52">
        <w:rPr>
          <w:rFonts w:cstheme="minorHAnsi"/>
          <w:bCs/>
          <w:sz w:val="20"/>
          <w:szCs w:val="20"/>
        </w:rPr>
        <w:t xml:space="preserve"> 2014 International S</w:t>
      </w:r>
      <w:r w:rsidR="00907AD6" w:rsidRPr="00D65E52">
        <w:rPr>
          <w:rFonts w:cstheme="minorHAnsi"/>
          <w:bCs/>
          <w:sz w:val="20"/>
          <w:szCs w:val="20"/>
        </w:rPr>
        <w:t>ociety of Blood transfusion 107:</w:t>
      </w:r>
      <w:r w:rsidRPr="00D65E52">
        <w:rPr>
          <w:rFonts w:cstheme="minorHAnsi"/>
          <w:bCs/>
          <w:sz w:val="20"/>
          <w:szCs w:val="20"/>
        </w:rPr>
        <w:t xml:space="preserve"> 57-248 p.140</w:t>
      </w:r>
    </w:p>
    <w:p w:rsidR="008503FD" w:rsidRPr="00D65E52" w:rsidRDefault="008503FD" w:rsidP="00907AD6">
      <w:pPr>
        <w:widowControl w:val="0"/>
        <w:numPr>
          <w:ilvl w:val="0"/>
          <w:numId w:val="1"/>
        </w:numPr>
        <w:bidi w:val="0"/>
        <w:spacing w:after="0" w:line="240" w:lineRule="auto"/>
        <w:jc w:val="both"/>
        <w:rPr>
          <w:rFonts w:cstheme="minorHAnsi"/>
          <w:bCs/>
          <w:sz w:val="20"/>
          <w:szCs w:val="20"/>
        </w:rPr>
      </w:pPr>
      <w:proofErr w:type="spellStart"/>
      <w:r w:rsidRPr="00D65E52">
        <w:rPr>
          <w:rFonts w:cstheme="minorHAnsi"/>
          <w:bCs/>
          <w:sz w:val="20"/>
          <w:szCs w:val="20"/>
        </w:rPr>
        <w:t>Abdelaziz</w:t>
      </w:r>
      <w:proofErr w:type="spellEnd"/>
      <w:r w:rsidRPr="00D65E52">
        <w:rPr>
          <w:rFonts w:cstheme="minorHAnsi"/>
          <w:bCs/>
          <w:sz w:val="20"/>
          <w:szCs w:val="20"/>
        </w:rPr>
        <w:t xml:space="preserve"> H (2014): Routine Use of Mini-Pool Nucleic Acid Testing (MP-NAT) Multiplex Assay for </w:t>
      </w:r>
      <w:proofErr w:type="spellStart"/>
      <w:r w:rsidRPr="00D65E52">
        <w:rPr>
          <w:rFonts w:cstheme="minorHAnsi"/>
          <w:bCs/>
          <w:sz w:val="20"/>
          <w:szCs w:val="20"/>
        </w:rPr>
        <w:t>Sero</w:t>
      </w:r>
      <w:proofErr w:type="spellEnd"/>
      <w:r w:rsidRPr="00D65E52">
        <w:rPr>
          <w:rFonts w:cstheme="minorHAnsi"/>
          <w:bCs/>
          <w:sz w:val="20"/>
          <w:szCs w:val="20"/>
        </w:rPr>
        <w:t>-Negative Blood Donors</w:t>
      </w:r>
      <w:r w:rsidR="00907AD6" w:rsidRPr="00D65E52">
        <w:rPr>
          <w:rFonts w:cstheme="minorHAnsi"/>
          <w:bCs/>
        </w:rPr>
        <w:t xml:space="preserve"> 2013. JESHR. 7(2):1-5.</w:t>
      </w:r>
    </w:p>
    <w:p w:rsidR="008503FD" w:rsidRPr="00D65E52" w:rsidRDefault="008503FD" w:rsidP="00907AD6">
      <w:pPr>
        <w:widowControl w:val="0"/>
        <w:numPr>
          <w:ilvl w:val="0"/>
          <w:numId w:val="1"/>
        </w:numPr>
        <w:bidi w:val="0"/>
        <w:spacing w:after="0" w:line="240" w:lineRule="auto"/>
        <w:jc w:val="both"/>
        <w:rPr>
          <w:rFonts w:cstheme="minorHAnsi"/>
          <w:bCs/>
          <w:sz w:val="20"/>
          <w:szCs w:val="20"/>
        </w:rPr>
      </w:pPr>
      <w:proofErr w:type="spellStart"/>
      <w:r w:rsidRPr="00D65E52">
        <w:rPr>
          <w:rFonts w:cstheme="minorHAnsi"/>
          <w:bCs/>
          <w:sz w:val="20"/>
          <w:szCs w:val="20"/>
        </w:rPr>
        <w:t>Abdelaziz</w:t>
      </w:r>
      <w:proofErr w:type="spellEnd"/>
      <w:r w:rsidRPr="00D65E52">
        <w:rPr>
          <w:rFonts w:cstheme="minorHAnsi"/>
          <w:bCs/>
          <w:sz w:val="20"/>
          <w:szCs w:val="20"/>
        </w:rPr>
        <w:t xml:space="preserve"> H (2013): Diagnosis of Neonatal Sepsis </w:t>
      </w:r>
      <w:r w:rsidR="00F648C9" w:rsidRPr="00D65E52">
        <w:rPr>
          <w:rFonts w:cstheme="minorHAnsi"/>
          <w:bCs/>
          <w:sz w:val="20"/>
          <w:szCs w:val="20"/>
        </w:rPr>
        <w:t xml:space="preserve">using different sepsis markers. </w:t>
      </w:r>
      <w:r w:rsidR="00F648C9" w:rsidRPr="00D65E52">
        <w:rPr>
          <w:rFonts w:cstheme="minorHAnsi"/>
          <w:bCs/>
        </w:rPr>
        <w:t>4th International Conference</w:t>
      </w:r>
      <w:r w:rsidR="00F648C9" w:rsidRPr="00D65E52">
        <w:rPr>
          <w:rFonts w:cstheme="minorHAnsi"/>
          <w:bCs/>
          <w:sz w:val="20"/>
          <w:szCs w:val="20"/>
        </w:rPr>
        <w:t xml:space="preserve"> </w:t>
      </w:r>
      <w:r w:rsidRPr="00D65E52">
        <w:rPr>
          <w:rFonts w:cstheme="minorHAnsi"/>
          <w:bCs/>
          <w:sz w:val="20"/>
          <w:szCs w:val="20"/>
        </w:rPr>
        <w:t>Biomarkers</w:t>
      </w:r>
      <w:r w:rsidR="00907AD6" w:rsidRPr="00D65E52">
        <w:rPr>
          <w:rFonts w:cstheme="minorHAnsi"/>
          <w:bCs/>
          <w:sz w:val="20"/>
          <w:szCs w:val="20"/>
        </w:rPr>
        <w:t xml:space="preserve"> </w:t>
      </w:r>
      <w:r w:rsidRPr="00D65E52">
        <w:rPr>
          <w:rFonts w:cstheme="minorHAnsi"/>
          <w:bCs/>
          <w:sz w:val="20"/>
          <w:szCs w:val="20"/>
        </w:rPr>
        <w:t>&amp; C</w:t>
      </w:r>
      <w:r w:rsidR="00907AD6" w:rsidRPr="00D65E52">
        <w:rPr>
          <w:rFonts w:cstheme="minorHAnsi"/>
          <w:bCs/>
          <w:sz w:val="20"/>
          <w:szCs w:val="20"/>
        </w:rPr>
        <w:t>linical Research</w:t>
      </w:r>
      <w:r w:rsidRPr="00D65E52">
        <w:rPr>
          <w:rFonts w:cstheme="minorHAnsi"/>
          <w:bCs/>
          <w:sz w:val="20"/>
          <w:szCs w:val="20"/>
        </w:rPr>
        <w:t>,</w:t>
      </w:r>
      <w:r w:rsidR="00907AD6" w:rsidRPr="00D65E52">
        <w:rPr>
          <w:rFonts w:cstheme="minorHAnsi"/>
          <w:bCs/>
          <w:sz w:val="20"/>
          <w:szCs w:val="20"/>
        </w:rPr>
        <w:t xml:space="preserve"> </w:t>
      </w:r>
      <w:r w:rsidRPr="00D65E52">
        <w:rPr>
          <w:rFonts w:cstheme="minorHAnsi"/>
          <w:bCs/>
          <w:sz w:val="20"/>
          <w:szCs w:val="20"/>
        </w:rPr>
        <w:t>P</w:t>
      </w:r>
      <w:r w:rsidR="00907AD6" w:rsidRPr="00D65E52">
        <w:rPr>
          <w:rFonts w:cstheme="minorHAnsi"/>
          <w:bCs/>
          <w:sz w:val="20"/>
          <w:szCs w:val="20"/>
        </w:rPr>
        <w:t>hiladelphia</w:t>
      </w:r>
      <w:r w:rsidRPr="00D65E52">
        <w:rPr>
          <w:rFonts w:cstheme="minorHAnsi"/>
          <w:bCs/>
          <w:sz w:val="20"/>
          <w:szCs w:val="20"/>
        </w:rPr>
        <w:t>, USA</w:t>
      </w:r>
      <w:r w:rsidR="00907AD6" w:rsidRPr="00D65E52">
        <w:rPr>
          <w:rFonts w:cstheme="minorHAnsi"/>
          <w:bCs/>
          <w:sz w:val="20"/>
          <w:szCs w:val="20"/>
        </w:rPr>
        <w:t>.</w:t>
      </w:r>
    </w:p>
    <w:p w:rsidR="00D65E52" w:rsidRPr="00B93FF8" w:rsidRDefault="008503FD" w:rsidP="00B93FF8">
      <w:pPr>
        <w:widowControl w:val="0"/>
        <w:numPr>
          <w:ilvl w:val="0"/>
          <w:numId w:val="1"/>
        </w:numPr>
        <w:tabs>
          <w:tab w:val="left" w:pos="-648"/>
          <w:tab w:val="left" w:pos="1170"/>
          <w:tab w:val="left" w:pos="4680"/>
          <w:tab w:val="left" w:pos="8856"/>
        </w:tabs>
        <w:bidi w:val="0"/>
        <w:spacing w:after="0" w:line="240" w:lineRule="auto"/>
        <w:jc w:val="both"/>
        <w:rPr>
          <w:rFonts w:cstheme="minorHAnsi"/>
          <w:bCs/>
          <w:sz w:val="20"/>
          <w:szCs w:val="20"/>
        </w:rPr>
      </w:pPr>
      <w:proofErr w:type="spellStart"/>
      <w:r w:rsidRPr="00D65E52">
        <w:rPr>
          <w:rFonts w:cstheme="minorHAnsi"/>
          <w:bCs/>
          <w:sz w:val="20"/>
          <w:szCs w:val="20"/>
        </w:rPr>
        <w:t>Abdelaziz</w:t>
      </w:r>
      <w:proofErr w:type="spellEnd"/>
      <w:r w:rsidRPr="00D65E52">
        <w:rPr>
          <w:rFonts w:cstheme="minorHAnsi"/>
          <w:bCs/>
          <w:sz w:val="20"/>
          <w:szCs w:val="20"/>
        </w:rPr>
        <w:t xml:space="preserve"> H (2013): The Predisposing Role of NAD</w:t>
      </w:r>
      <w:r w:rsidR="00F648C9" w:rsidRPr="00D65E52">
        <w:rPr>
          <w:rFonts w:cstheme="minorHAnsi"/>
          <w:bCs/>
          <w:sz w:val="20"/>
          <w:szCs w:val="20"/>
        </w:rPr>
        <w:t xml:space="preserve"> </w:t>
      </w:r>
      <w:r w:rsidRPr="00D65E52">
        <w:rPr>
          <w:rFonts w:cstheme="minorHAnsi"/>
          <w:bCs/>
          <w:sz w:val="20"/>
          <w:szCs w:val="20"/>
        </w:rPr>
        <w:t>(P</w:t>
      </w:r>
      <w:proofErr w:type="gramStart"/>
      <w:r w:rsidRPr="00D65E52">
        <w:rPr>
          <w:rFonts w:cstheme="minorHAnsi"/>
          <w:bCs/>
          <w:sz w:val="20"/>
          <w:szCs w:val="20"/>
        </w:rPr>
        <w:t>)H</w:t>
      </w:r>
      <w:proofErr w:type="gramEnd"/>
      <w:r w:rsidRPr="00D65E52">
        <w:rPr>
          <w:rFonts w:cstheme="minorHAnsi"/>
          <w:bCs/>
          <w:sz w:val="20"/>
          <w:szCs w:val="20"/>
        </w:rPr>
        <w:t xml:space="preserve">: quinine </w:t>
      </w:r>
      <w:proofErr w:type="spellStart"/>
      <w:r w:rsidRPr="00D65E52">
        <w:rPr>
          <w:rFonts w:cstheme="minorHAnsi"/>
          <w:bCs/>
          <w:sz w:val="20"/>
          <w:szCs w:val="20"/>
        </w:rPr>
        <w:t>Oxidoreductase</w:t>
      </w:r>
      <w:proofErr w:type="spellEnd"/>
      <w:r w:rsidRPr="00D65E52">
        <w:rPr>
          <w:rFonts w:cstheme="minorHAnsi"/>
          <w:bCs/>
          <w:sz w:val="20"/>
          <w:szCs w:val="20"/>
        </w:rPr>
        <w:t xml:space="preserve"> Gene Polymorphisms in the Development of Pediatric </w:t>
      </w:r>
      <w:r w:rsidR="00F648C9" w:rsidRPr="00D65E52">
        <w:rPr>
          <w:rFonts w:cstheme="minorHAnsi"/>
          <w:bCs/>
          <w:sz w:val="20"/>
          <w:szCs w:val="20"/>
        </w:rPr>
        <w:t xml:space="preserve">ALL. </w:t>
      </w:r>
      <w:r w:rsidR="00F648C9" w:rsidRPr="00D65E52">
        <w:rPr>
          <w:rFonts w:cstheme="minorHAnsi"/>
          <w:bCs/>
        </w:rPr>
        <w:t>JESHR</w:t>
      </w:r>
      <w:r w:rsidR="00F648C9" w:rsidRPr="00D65E52">
        <w:rPr>
          <w:rFonts w:cstheme="minorHAnsi"/>
          <w:bCs/>
          <w:sz w:val="20"/>
          <w:szCs w:val="20"/>
        </w:rPr>
        <w:t>, 9(2):</w:t>
      </w:r>
      <w:r w:rsidR="00907AD6" w:rsidRPr="00D65E52">
        <w:rPr>
          <w:rFonts w:cstheme="minorHAnsi"/>
          <w:bCs/>
          <w:sz w:val="20"/>
          <w:szCs w:val="20"/>
        </w:rPr>
        <w:t xml:space="preserve"> </w:t>
      </w:r>
      <w:r w:rsidR="00F648C9" w:rsidRPr="00D65E52">
        <w:rPr>
          <w:rFonts w:cstheme="minorHAnsi"/>
          <w:bCs/>
          <w:sz w:val="20"/>
          <w:szCs w:val="20"/>
        </w:rPr>
        <w:t>1-6.</w:t>
      </w:r>
    </w:p>
    <w:sectPr w:rsidR="00D65E52" w:rsidRPr="00B93FF8" w:rsidSect="00B93FF8">
      <w:headerReference w:type="default" r:id="rId9"/>
      <w:pgSz w:w="12240" w:h="15840"/>
      <w:pgMar w:top="1890" w:right="810" w:bottom="1440" w:left="720" w:header="720" w:footer="720" w:gutter="0"/>
      <w:cols w:num="2" w:space="45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699B" w:rsidRDefault="0077699B" w:rsidP="00FA732F">
      <w:pPr>
        <w:spacing w:after="0" w:line="240" w:lineRule="auto"/>
      </w:pPr>
      <w:r>
        <w:separator/>
      </w:r>
    </w:p>
  </w:endnote>
  <w:endnote w:type="continuationSeparator" w:id="0">
    <w:p w:rsidR="0077699B" w:rsidRDefault="0077699B" w:rsidP="00FA73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pitoliumNews-Regular">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699B" w:rsidRDefault="0077699B" w:rsidP="00FA732F">
      <w:pPr>
        <w:spacing w:after="0" w:line="240" w:lineRule="auto"/>
      </w:pPr>
      <w:r>
        <w:separator/>
      </w:r>
    </w:p>
  </w:footnote>
  <w:footnote w:type="continuationSeparator" w:id="0">
    <w:p w:rsidR="0077699B" w:rsidRDefault="0077699B" w:rsidP="00FA73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2F" w:rsidRDefault="00FA732F" w:rsidP="00FA732F">
    <w:pPr>
      <w:pStyle w:val="Header"/>
    </w:pPr>
  </w:p>
  <w:p w:rsidR="00FA732F" w:rsidRDefault="00FA732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257141"/>
    <w:multiLevelType w:val="hybridMultilevel"/>
    <w:tmpl w:val="6C30EAA0"/>
    <w:lvl w:ilvl="0" w:tplc="04090001">
      <w:start w:val="1"/>
      <w:numFmt w:val="bullet"/>
      <w:lvlText w:val=""/>
      <w:lvlJc w:val="left"/>
      <w:pPr>
        <w:tabs>
          <w:tab w:val="num" w:pos="720"/>
        </w:tabs>
        <w:ind w:left="720" w:hanging="360"/>
      </w:pPr>
      <w:rPr>
        <w:rFonts w:ascii="Symbol" w:hAnsi="Symbol"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8503FD"/>
    <w:rsid w:val="003E2536"/>
    <w:rsid w:val="00474311"/>
    <w:rsid w:val="0077699B"/>
    <w:rsid w:val="0082162E"/>
    <w:rsid w:val="008503FD"/>
    <w:rsid w:val="008B32D6"/>
    <w:rsid w:val="00907AD6"/>
    <w:rsid w:val="00B93FF8"/>
    <w:rsid w:val="00CA1343"/>
    <w:rsid w:val="00D65E52"/>
    <w:rsid w:val="00E32533"/>
    <w:rsid w:val="00F648C9"/>
    <w:rsid w:val="00FA732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3FD"/>
    <w:pPr>
      <w:bidi/>
    </w:pPr>
  </w:style>
  <w:style w:type="paragraph" w:styleId="Heading1">
    <w:name w:val="heading 1"/>
    <w:basedOn w:val="Normal"/>
    <w:next w:val="Normal"/>
    <w:link w:val="Heading1Char"/>
    <w:uiPriority w:val="9"/>
    <w:qFormat/>
    <w:rsid w:val="008503FD"/>
    <w:pPr>
      <w:keepNext/>
      <w:keepLines/>
      <w:bidi w:val="0"/>
      <w:spacing w:before="480" w:after="0"/>
      <w:jc w:val="center"/>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3FD"/>
    <w:rPr>
      <w:rFonts w:asciiTheme="majorHAnsi" w:eastAsiaTheme="majorEastAsia" w:hAnsiTheme="majorHAnsi" w:cstheme="majorBidi"/>
      <w:b/>
      <w:bCs/>
      <w:color w:val="365F91" w:themeColor="accent1" w:themeShade="BF"/>
      <w:sz w:val="28"/>
      <w:szCs w:val="28"/>
    </w:rPr>
  </w:style>
  <w:style w:type="character" w:styleId="Emphasis">
    <w:name w:val="Emphasis"/>
    <w:uiPriority w:val="20"/>
    <w:qFormat/>
    <w:rsid w:val="008503FD"/>
    <w:rPr>
      <w:i/>
      <w:iCs/>
    </w:rPr>
  </w:style>
  <w:style w:type="paragraph" w:styleId="BalloonText">
    <w:name w:val="Balloon Text"/>
    <w:basedOn w:val="Normal"/>
    <w:link w:val="BalloonTextChar"/>
    <w:uiPriority w:val="99"/>
    <w:semiHidden/>
    <w:unhideWhenUsed/>
    <w:rsid w:val="008503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03FD"/>
    <w:rPr>
      <w:rFonts w:ascii="Tahoma" w:hAnsi="Tahoma" w:cs="Tahoma"/>
      <w:sz w:val="16"/>
      <w:szCs w:val="16"/>
    </w:rPr>
  </w:style>
  <w:style w:type="paragraph" w:styleId="Header">
    <w:name w:val="header"/>
    <w:basedOn w:val="Normal"/>
    <w:link w:val="HeaderChar"/>
    <w:uiPriority w:val="99"/>
    <w:unhideWhenUsed/>
    <w:rsid w:val="00FA732F"/>
    <w:pPr>
      <w:tabs>
        <w:tab w:val="center" w:pos="4320"/>
        <w:tab w:val="right" w:pos="8640"/>
      </w:tabs>
      <w:spacing w:after="0" w:line="240" w:lineRule="auto"/>
    </w:pPr>
  </w:style>
  <w:style w:type="character" w:customStyle="1" w:styleId="HeaderChar">
    <w:name w:val="Header Char"/>
    <w:basedOn w:val="DefaultParagraphFont"/>
    <w:link w:val="Header"/>
    <w:uiPriority w:val="99"/>
    <w:rsid w:val="00FA732F"/>
  </w:style>
  <w:style w:type="paragraph" w:styleId="Footer">
    <w:name w:val="footer"/>
    <w:basedOn w:val="Normal"/>
    <w:link w:val="FooterChar"/>
    <w:uiPriority w:val="99"/>
    <w:semiHidden/>
    <w:unhideWhenUsed/>
    <w:rsid w:val="00FA732F"/>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FA732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Occult Hepatitis C Virus Infection in Patients with Malignant Lymphoproliferative Disorders Hisham Abdelaziz, Mahmoud Mohamed kamelDepartment of Clinical Pathology, National Cancer Institute, University of Cairo, Egypt</vt:lpstr>
    </vt:vector>
  </TitlesOfParts>
  <Company/>
  <LinksUpToDate>false</LinksUpToDate>
  <CharactersWithSpaces>2923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Occult Hepatitis C Virus Infection in Patients with Malignant Lymphoproliferative Disorders Hisham Abdelaziz, Mahmoud Mohamed kamelDepartment of Clinical Pathology, National Cancer Institute, University of Cairo, Egypt</dc:title>
  <dc:creator>Hisham.Aelaziz</dc:creator>
  <cp:lastModifiedBy>Hisham.Aelaziz</cp:lastModifiedBy>
  <cp:revision>2</cp:revision>
  <cp:lastPrinted>2018-10-04T12:58:00Z</cp:lastPrinted>
  <dcterms:created xsi:type="dcterms:W3CDTF">2018-10-04T13:00:00Z</dcterms:created>
  <dcterms:modified xsi:type="dcterms:W3CDTF">2018-10-04T13:00:00Z</dcterms:modified>
</cp:coreProperties>
</file>