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F97" w:rsidRPr="001E2586" w:rsidRDefault="00823F97" w:rsidP="00823F97">
      <w:pPr>
        <w:bidi w:val="0"/>
        <w:spacing w:before="200" w:after="0" w:line="240" w:lineRule="auto"/>
        <w:jc w:val="center"/>
        <w:rPr>
          <w:rFonts w:asciiTheme="majorBidi" w:eastAsia="Times New Roman" w:hAnsiTheme="majorBidi" w:cstheme="majorBidi"/>
          <w:b/>
          <w:bCs/>
          <w:sz w:val="28"/>
          <w:szCs w:val="28"/>
          <w:lang w:bidi="ar-AE"/>
        </w:rPr>
      </w:pPr>
      <w:bookmarkStart w:id="0" w:name="_GoBack"/>
      <w:bookmarkEnd w:id="0"/>
      <w:r w:rsidRPr="001E2586">
        <w:rPr>
          <w:rFonts w:asciiTheme="majorBidi" w:eastAsiaTheme="minorEastAsia" w:hAnsiTheme="majorBidi" w:cstheme="majorBidi"/>
          <w:b/>
          <w:bCs/>
          <w:kern w:val="24"/>
          <w:sz w:val="28"/>
          <w:szCs w:val="28"/>
          <w:lang w:bidi="ar-AE"/>
        </w:rPr>
        <w:t>Occult Hepatitis C Virus Infection in Patients with Malignant Lymphoproliferative Disorders</w:t>
      </w:r>
    </w:p>
    <w:p w:rsidR="00823F97" w:rsidRDefault="00823F97" w:rsidP="00823F97">
      <w:pPr>
        <w:keepNext/>
        <w:keepLines/>
        <w:bidi w:val="0"/>
        <w:spacing w:after="0"/>
        <w:outlineLvl w:val="0"/>
        <w:rPr>
          <w:rFonts w:asciiTheme="minorBidi" w:eastAsia="Times New Roman" w:hAnsiTheme="minorBidi"/>
          <w:b/>
          <w:bCs/>
          <w:sz w:val="24"/>
          <w:szCs w:val="24"/>
        </w:rPr>
      </w:pPr>
    </w:p>
    <w:p w:rsidR="00823F97" w:rsidRDefault="00823F97" w:rsidP="00823F97">
      <w:pPr>
        <w:keepNext/>
        <w:keepLines/>
        <w:bidi w:val="0"/>
        <w:spacing w:after="0"/>
        <w:outlineLvl w:val="0"/>
        <w:rPr>
          <w:rFonts w:asciiTheme="minorBidi" w:eastAsia="Times New Roman" w:hAnsiTheme="minorBidi"/>
          <w:b/>
          <w:bCs/>
          <w:sz w:val="24"/>
          <w:szCs w:val="24"/>
        </w:rPr>
      </w:pPr>
      <w:r>
        <w:rPr>
          <w:rFonts w:asciiTheme="minorBidi" w:eastAsia="Times New Roman" w:hAnsiTheme="minorBidi"/>
          <w:b/>
          <w:bCs/>
          <w:sz w:val="24"/>
          <w:szCs w:val="24"/>
        </w:rPr>
        <w:t>Abdelaziz H., Assist. Prof. clinical pathology- Hematology Department, National Cancer Institute, University of Cairo</w:t>
      </w:r>
    </w:p>
    <w:p w:rsidR="00823F97" w:rsidRDefault="00823F97" w:rsidP="00823F97">
      <w:pPr>
        <w:keepNext/>
        <w:keepLines/>
        <w:bidi w:val="0"/>
        <w:spacing w:after="0"/>
        <w:outlineLvl w:val="0"/>
        <w:rPr>
          <w:rFonts w:asciiTheme="minorBidi" w:eastAsia="Times New Roman" w:hAnsiTheme="minorBidi"/>
          <w:b/>
          <w:bCs/>
          <w:sz w:val="24"/>
          <w:szCs w:val="24"/>
        </w:rPr>
      </w:pPr>
    </w:p>
    <w:p w:rsidR="00823F97" w:rsidRPr="00A23AF5" w:rsidRDefault="00823F97" w:rsidP="00823F97">
      <w:pPr>
        <w:bidi w:val="0"/>
        <w:spacing w:before="240" w:line="240" w:lineRule="auto"/>
        <w:ind w:firstLine="720"/>
        <w:jc w:val="both"/>
        <w:rPr>
          <w:rFonts w:asciiTheme="minorBidi" w:hAnsiTheme="minorBidi"/>
          <w:shd w:val="clear" w:color="auto" w:fill="FFFFFF"/>
        </w:rPr>
      </w:pPr>
      <w:r w:rsidRPr="00A23AF5">
        <w:rPr>
          <w:rFonts w:asciiTheme="minorBidi" w:hAnsiTheme="minorBidi"/>
          <w:b/>
          <w:bCs/>
        </w:rPr>
        <w:t>Introduction:</w:t>
      </w:r>
      <w:r w:rsidRPr="00A23AF5">
        <w:rPr>
          <w:rFonts w:asciiTheme="minorBidi" w:hAnsiTheme="minorBidi"/>
        </w:rPr>
        <w:t xml:space="preserve"> Egypt has the highest prevalence of HCV in the world, estimated nationally at 14.7%</w:t>
      </w:r>
      <w:r w:rsidRPr="00A23AF5">
        <w:rPr>
          <w:rFonts w:asciiTheme="minorBidi" w:eastAsia="AdvGulliv-R" w:hAnsiTheme="minorBidi"/>
          <w:color w:val="000000"/>
        </w:rPr>
        <w:t xml:space="preserve"> and the highest prevalence of HCV genotype 4</w:t>
      </w:r>
      <w:r w:rsidRPr="00A23AF5">
        <w:rPr>
          <w:rFonts w:asciiTheme="minorBidi" w:eastAsia="Times New Roman" w:hAnsiTheme="minorBidi"/>
          <w:b/>
          <w:bCs/>
        </w:rPr>
        <w:t>.</w:t>
      </w:r>
      <w:r w:rsidRPr="00A23AF5">
        <w:rPr>
          <w:rFonts w:asciiTheme="minorBidi" w:eastAsia="Times New Roman" w:hAnsiTheme="minorBidi"/>
          <w:spacing w:val="-4"/>
        </w:rPr>
        <w:t xml:space="preserve"> Occult hepatitis C virus infection (OCI), </w:t>
      </w:r>
      <w:r w:rsidRPr="00A23AF5">
        <w:rPr>
          <w:rFonts w:asciiTheme="minorBidi" w:eastAsia="Times New Roman" w:hAnsiTheme="minorBidi"/>
          <w:spacing w:val="-4"/>
          <w:lang w:eastAsia="ar-SA"/>
        </w:rPr>
        <w:t>defined as the presence of HCV RNA in liver and in peripheral blood mononuclear cells (PBMCs) in the absence of detectable viral RNA in serum by standard assays.</w:t>
      </w:r>
      <w:r w:rsidRPr="00A23AF5">
        <w:rPr>
          <w:rFonts w:asciiTheme="minorBidi" w:eastAsia="Times New Roman" w:hAnsiTheme="minorBidi"/>
          <w:b/>
          <w:bCs/>
        </w:rPr>
        <w:t xml:space="preserve"> </w:t>
      </w:r>
      <w:r w:rsidRPr="00A23AF5">
        <w:rPr>
          <w:rFonts w:asciiTheme="minorBidi" w:eastAsia="Times New Roman" w:hAnsiTheme="minorBidi"/>
          <w:lang w:eastAsia="ar-SA"/>
        </w:rPr>
        <w:t>In spite of a link between HCV and malignant Lymphoproliferative disorders (LPDs) is established</w:t>
      </w:r>
      <w:r w:rsidRPr="00A23AF5">
        <w:rPr>
          <w:rFonts w:asciiTheme="minorBidi" w:eastAsia="CapitoliumNews-Regular" w:hAnsiTheme="minorBidi"/>
          <w:i/>
          <w:iCs/>
        </w:rPr>
        <w:t>,</w:t>
      </w:r>
      <w:r w:rsidRPr="00A23AF5">
        <w:rPr>
          <w:rFonts w:asciiTheme="minorBidi" w:eastAsia="CapitoliumNews-Regular" w:hAnsiTheme="minorBidi"/>
        </w:rPr>
        <w:t xml:space="preserve"> the association between OCI and </w:t>
      </w:r>
      <w:r w:rsidRPr="00A23AF5">
        <w:rPr>
          <w:rFonts w:asciiTheme="minorBidi" w:eastAsia="Times New Roman" w:hAnsiTheme="minorBidi"/>
          <w:lang w:eastAsia="ar-SA"/>
        </w:rPr>
        <w:t>malignant LPDs remain to be further investigated</w:t>
      </w:r>
      <w:r w:rsidRPr="00A23AF5">
        <w:rPr>
          <w:rFonts w:asciiTheme="minorBidi" w:eastAsia="Times New Roman" w:hAnsiTheme="minorBidi"/>
          <w:b/>
          <w:bCs/>
          <w:i/>
          <w:iCs/>
          <w:w w:val="119"/>
          <w:lang w:eastAsia="ar-SA"/>
        </w:rPr>
        <w:t>.</w:t>
      </w:r>
      <w:r w:rsidRPr="00A23AF5">
        <w:rPr>
          <w:rFonts w:asciiTheme="minorBidi" w:eastAsia="Times New Roman" w:hAnsiTheme="minorBidi"/>
          <w:b/>
          <w:bCs/>
          <w:w w:val="119"/>
          <w:lang w:eastAsia="ar-SA"/>
        </w:rPr>
        <w:t xml:space="preserve"> Aim: </w:t>
      </w:r>
      <w:r w:rsidRPr="00A23AF5">
        <w:rPr>
          <w:rFonts w:asciiTheme="minorBidi" w:eastAsia="Times New Roman" w:hAnsiTheme="minorBidi"/>
          <w:lang w:eastAsia="ar-SA"/>
        </w:rPr>
        <w:t>Studying this relation might have an impact on disease prevention as well as screening of lymphoma patients for OCI might help in the choice of treatment modalities (immunotherapy and chemotherapy) which may help to reduce post chemotherapy complications related to HCV infection, thus achieving a higher cure rate.</w:t>
      </w:r>
      <w:r w:rsidRPr="00A23AF5">
        <w:rPr>
          <w:rFonts w:asciiTheme="minorBidi" w:eastAsia="Times New Roman" w:hAnsiTheme="minorBidi"/>
          <w:b/>
          <w:bCs/>
        </w:rPr>
        <w:t xml:space="preserve"> Methods: </w:t>
      </w:r>
      <w:r w:rsidRPr="00A23AF5">
        <w:rPr>
          <w:rFonts w:asciiTheme="minorBidi" w:hAnsiTheme="minorBidi"/>
          <w:lang w:bidi="ar-EG"/>
        </w:rPr>
        <w:t xml:space="preserve">This study was </w:t>
      </w:r>
      <w:r w:rsidRPr="00A23AF5">
        <w:rPr>
          <w:rFonts w:asciiTheme="minorBidi" w:hAnsiTheme="minorBidi"/>
          <w:lang w:val="en-PH"/>
        </w:rPr>
        <w:t>conducted</w:t>
      </w:r>
      <w:r w:rsidRPr="00A23AF5">
        <w:rPr>
          <w:rFonts w:asciiTheme="minorBidi" w:hAnsiTheme="minorBidi"/>
          <w:lang w:bidi="ar-EG"/>
        </w:rPr>
        <w:t xml:space="preserve"> on 32 newly diagnosed patients with LPDs obtained from National Cancer Institute, </w:t>
      </w:r>
      <w:r w:rsidRPr="00A23AF5">
        <w:rPr>
          <w:rFonts w:asciiTheme="minorBidi" w:hAnsiTheme="minorBidi"/>
        </w:rPr>
        <w:t>Cairo University</w:t>
      </w:r>
      <w:r w:rsidRPr="00A23AF5">
        <w:rPr>
          <w:rFonts w:asciiTheme="minorBidi" w:hAnsiTheme="minorBidi"/>
          <w:lang w:bidi="ar-EG"/>
        </w:rPr>
        <w:t xml:space="preserve"> </w:t>
      </w:r>
      <w:r w:rsidRPr="00A23AF5">
        <w:rPr>
          <w:rFonts w:asciiTheme="minorBidi" w:hAnsiTheme="minorBidi"/>
        </w:rPr>
        <w:t>and 27 Healthy control.</w:t>
      </w:r>
      <w:r w:rsidRPr="00A23AF5">
        <w:rPr>
          <w:rStyle w:val="Emphasis"/>
          <w:rFonts w:asciiTheme="minorBidi" w:hAnsiTheme="minorBidi"/>
          <w:b/>
          <w:bCs/>
        </w:rPr>
        <w:t xml:space="preserve"> </w:t>
      </w:r>
      <w:r w:rsidRPr="00A23AF5">
        <w:rPr>
          <w:rStyle w:val="Emphasis"/>
          <w:rFonts w:asciiTheme="minorBidi" w:hAnsiTheme="minorBidi"/>
        </w:rPr>
        <w:t xml:space="preserve">Both patients and controls were subjected to the following: </w:t>
      </w:r>
      <w:r w:rsidRPr="00A23AF5">
        <w:rPr>
          <w:rFonts w:asciiTheme="minorBidi" w:hAnsiTheme="minorBidi"/>
          <w:lang w:bidi="ar-EG"/>
        </w:rPr>
        <w:t>Detection of HBsAg by ELISA, Detection of HCV-RNA by PCR, Conventional and Immuno-electron microscopy.</w:t>
      </w:r>
      <w:r w:rsidRPr="00A23AF5">
        <w:rPr>
          <w:rFonts w:asciiTheme="minorBidi" w:hAnsiTheme="minorBidi"/>
          <w:b/>
          <w:bCs/>
          <w:lang w:bidi="ar-EG"/>
        </w:rPr>
        <w:t xml:space="preserve"> Results</w:t>
      </w:r>
      <w:r w:rsidRPr="00A23AF5">
        <w:rPr>
          <w:rFonts w:asciiTheme="minorBidi" w:hAnsiTheme="minorBidi"/>
          <w:lang w:bidi="ar-EG"/>
        </w:rPr>
        <w:t xml:space="preserve">: </w:t>
      </w:r>
      <w:r w:rsidRPr="00A23AF5">
        <w:rPr>
          <w:rFonts w:asciiTheme="minorBidi" w:hAnsiTheme="minorBidi"/>
        </w:rPr>
        <w:t xml:space="preserve">Patients were divided into 3 groups; Group 1: positive OCI </w:t>
      </w:r>
      <w:r w:rsidRPr="00A23AF5">
        <w:rPr>
          <w:rFonts w:asciiTheme="minorBidi" w:hAnsiTheme="minorBidi"/>
          <w:lang w:bidi="ar-EG"/>
        </w:rPr>
        <w:t xml:space="preserve">LPD patients, </w:t>
      </w:r>
      <w:r w:rsidRPr="00A23AF5">
        <w:rPr>
          <w:rFonts w:asciiTheme="minorBidi" w:hAnsiTheme="minorBidi"/>
        </w:rPr>
        <w:t xml:space="preserve">Group 2: positive HCV </w:t>
      </w:r>
      <w:r w:rsidRPr="00A23AF5">
        <w:rPr>
          <w:rFonts w:asciiTheme="minorBidi" w:hAnsiTheme="minorBidi"/>
          <w:lang w:bidi="ar-EG"/>
        </w:rPr>
        <w:t xml:space="preserve">LPD patients, </w:t>
      </w:r>
      <w:r w:rsidRPr="00A23AF5">
        <w:rPr>
          <w:rFonts w:asciiTheme="minorBidi" w:hAnsiTheme="minorBidi"/>
        </w:rPr>
        <w:t>Group 3: negative OCI/negative HCV LPD Patients. LPD patients showed a significantly higher percentage of positive OCI (12 patients, 37.5%) and positive HCV (11 patients, 34.38%) compared to the control group (0%) (p &lt;0.001). Nine (28.13%) of LPD patients showed neither OCI nor HCV infection compared to 27 (100%) of controls (p &lt;0.001)</w:t>
      </w:r>
      <w:r w:rsidRPr="00A23AF5">
        <w:rPr>
          <w:rFonts w:asciiTheme="minorBidi" w:hAnsiTheme="minorBidi"/>
          <w:b/>
          <w:bCs/>
          <w:lang w:bidi="ar-EG"/>
        </w:rPr>
        <w:t xml:space="preserve">. </w:t>
      </w:r>
      <w:r w:rsidRPr="00A23AF5">
        <w:rPr>
          <w:rFonts w:asciiTheme="minorBidi" w:hAnsiTheme="minorBidi"/>
        </w:rPr>
        <w:t xml:space="preserve">Positive OCI group also showed a significantly higher percentage of positive HCV PCR in PBMCs and significantly higher copy number of HCV in PBMCs compared to the other group. Ultrastructural examination of PBMCs revealed the presence of intracytoplasmic vacuoles enclosing viral like particles, which were more in positive HCV patients than those seen in positive OCI patients. </w:t>
      </w:r>
      <w:r w:rsidRPr="00A23AF5">
        <w:rPr>
          <w:rFonts w:asciiTheme="minorBidi" w:hAnsiTheme="minorBidi"/>
          <w:b/>
          <w:bCs/>
          <w:shd w:val="clear" w:color="auto" w:fill="FFFFFF"/>
        </w:rPr>
        <w:t>Conclusion &amp;</w:t>
      </w:r>
      <w:r w:rsidRPr="00A23AF5">
        <w:rPr>
          <w:rStyle w:val="Emphasis"/>
          <w:rFonts w:asciiTheme="minorBidi" w:hAnsiTheme="minorBidi"/>
          <w:b/>
          <w:bCs/>
        </w:rPr>
        <w:t xml:space="preserve"> Recommendations</w:t>
      </w:r>
      <w:r w:rsidRPr="00A23AF5">
        <w:rPr>
          <w:rFonts w:asciiTheme="minorBidi" w:hAnsiTheme="minorBidi"/>
          <w:shd w:val="clear" w:color="auto" w:fill="FFFFFF"/>
        </w:rPr>
        <w:t>: The existence of OCI among Egyptian LPD patients. Therefore, the possibility of OCI should be considered in patients with LPDs which can lead to relapse or cause overt infection even after treatment. Thus, the evaluation of OCI in those patients might help in the choice of treatment modalities (immunotherapy, chemotherapy and antiviral therapy) which may help to control tumor progression as well as reduce post chemotherapy complications related to HCV infection, thus achieving a higher cure rate.</w:t>
      </w:r>
    </w:p>
    <w:p w:rsidR="0031298A" w:rsidRPr="00823F97" w:rsidRDefault="0031298A">
      <w:pPr>
        <w:rPr>
          <w:lang w:bidi="ar-AE"/>
        </w:rPr>
      </w:pPr>
    </w:p>
    <w:sectPr w:rsidR="0031298A" w:rsidRPr="00823F97" w:rsidSect="003D7BAC">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Gulliv-R">
    <w:panose1 w:val="00000000000000000000"/>
    <w:charset w:val="B2"/>
    <w:family w:val="auto"/>
    <w:notTrueType/>
    <w:pitch w:val="default"/>
    <w:sig w:usb0="00002001" w:usb1="00000000" w:usb2="00000000" w:usb3="00000000" w:csb0="00000040" w:csb1="00000000"/>
  </w:font>
  <w:font w:name="CapitoliumNews-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F97"/>
    <w:rsid w:val="0031298A"/>
    <w:rsid w:val="003D7BAC"/>
    <w:rsid w:val="00823F97"/>
    <w:rsid w:val="00B71D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F9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823F9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F9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823F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Doctor-Hisham</dc:creator>
  <cp:lastModifiedBy>Doctor-Hisham</cp:lastModifiedBy>
  <cp:revision>2</cp:revision>
  <dcterms:created xsi:type="dcterms:W3CDTF">2018-10-03T16:20:00Z</dcterms:created>
  <dcterms:modified xsi:type="dcterms:W3CDTF">2018-10-03T16:20:00Z</dcterms:modified>
</cp:coreProperties>
</file>