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787F1" w14:textId="3BC62590" w:rsidR="00504380" w:rsidRDefault="00504380">
      <w:pPr>
        <w:rPr>
          <w:rFonts w:ascii="Trebuchet MS" w:hAnsi="Trebuchet MS" w:cs="Trebuchet MS"/>
          <w:b/>
          <w:bCs/>
          <w:sz w:val="32"/>
          <w:szCs w:val="32"/>
        </w:rPr>
      </w:pPr>
      <w:r>
        <w:rPr>
          <w:rFonts w:ascii="Trebuchet MS" w:hAnsi="Trebuchet MS" w:cs="Trebuchet MS"/>
          <w:b/>
          <w:bCs/>
          <w:sz w:val="32"/>
          <w:szCs w:val="32"/>
        </w:rPr>
        <w:t xml:space="preserve">Uso del paracetamol para el cierre del conducto arterioso en recién nacidos con edad gestacional menor a 35 semanas </w:t>
      </w:r>
    </w:p>
    <w:p w14:paraId="0EB6FF8B" w14:textId="5AC2B3F6" w:rsidR="000879B8" w:rsidRDefault="000879B8">
      <w:pPr>
        <w:rPr>
          <w:sz w:val="18"/>
          <w:szCs w:val="18"/>
        </w:rPr>
      </w:pPr>
      <w:r>
        <w:rPr>
          <w:b/>
          <w:bCs/>
          <w:sz w:val="23"/>
          <w:szCs w:val="23"/>
        </w:rPr>
        <w:t>E. Gálvez-Cuitiva</w:t>
      </w:r>
      <w:r>
        <w:rPr>
          <w:rFonts w:ascii="MS Mincho" w:eastAsia="MS Mincho" w:hAnsi="MS Mincho" w:cs="MS Mincho"/>
          <w:sz w:val="16"/>
          <w:szCs w:val="16"/>
        </w:rPr>
        <w:t>∗</w:t>
      </w:r>
      <w:r>
        <w:rPr>
          <w:b/>
          <w:bCs/>
          <w:sz w:val="23"/>
          <w:szCs w:val="23"/>
        </w:rPr>
        <w:t>y G. Lonngi-Rojas</w:t>
      </w:r>
    </w:p>
    <w:p w14:paraId="6E271784" w14:textId="77777777" w:rsidR="00504380" w:rsidRDefault="00504380" w:rsidP="00504380">
      <w:pPr>
        <w:outlineLvl w:val="0"/>
        <w:rPr>
          <w:b/>
          <w:bCs/>
          <w:sz w:val="17"/>
          <w:szCs w:val="17"/>
        </w:rPr>
      </w:pPr>
      <w:r>
        <w:rPr>
          <w:b/>
          <w:bCs/>
          <w:sz w:val="17"/>
          <w:szCs w:val="17"/>
        </w:rPr>
        <w:t>Resumen</w:t>
      </w:r>
    </w:p>
    <w:p w14:paraId="5568C680" w14:textId="77777777" w:rsidR="00504380" w:rsidRDefault="00504380">
      <w:pPr>
        <w:rPr>
          <w:b/>
          <w:bCs/>
          <w:sz w:val="17"/>
          <w:szCs w:val="17"/>
        </w:rPr>
      </w:pPr>
    </w:p>
    <w:p w14:paraId="29D64B7A" w14:textId="77777777" w:rsidR="00504380" w:rsidRDefault="00504380">
      <w:pPr>
        <w:rPr>
          <w:sz w:val="17"/>
          <w:szCs w:val="17"/>
        </w:rPr>
      </w:pPr>
      <w:r w:rsidRPr="00504380">
        <w:rPr>
          <w:b/>
          <w:i/>
          <w:iCs/>
          <w:sz w:val="17"/>
          <w:szCs w:val="17"/>
        </w:rPr>
        <w:t>Objetivo:</w:t>
      </w:r>
      <w:r>
        <w:rPr>
          <w:i/>
          <w:iCs/>
          <w:sz w:val="17"/>
          <w:szCs w:val="17"/>
        </w:rPr>
        <w:t xml:space="preserve"> </w:t>
      </w:r>
      <w:r>
        <w:rPr>
          <w:sz w:val="17"/>
          <w:szCs w:val="17"/>
        </w:rPr>
        <w:t>Describir la experiencia con el uso del paracetamol en el cierre farmacológico del conducto arterioso persistente con repercusión hemodinámica.</w:t>
      </w:r>
    </w:p>
    <w:p w14:paraId="352EDC9A" w14:textId="6EA201BB" w:rsidR="00504380" w:rsidRDefault="00504380">
      <w:pPr>
        <w:rPr>
          <w:sz w:val="17"/>
          <w:szCs w:val="17"/>
        </w:rPr>
      </w:pPr>
      <w:r w:rsidRPr="00504380">
        <w:rPr>
          <w:b/>
          <w:i/>
          <w:iCs/>
          <w:sz w:val="17"/>
          <w:szCs w:val="17"/>
        </w:rPr>
        <w:t>Métodos:</w:t>
      </w:r>
      <w:r>
        <w:rPr>
          <w:i/>
          <w:iCs/>
          <w:sz w:val="17"/>
          <w:szCs w:val="17"/>
        </w:rPr>
        <w:t xml:space="preserve"> </w:t>
      </w:r>
      <w:r>
        <w:rPr>
          <w:sz w:val="17"/>
          <w:szCs w:val="17"/>
        </w:rPr>
        <w:t>Estudio de tipo observacional retrospectivo del 1 de enero de 2014 al 1 de junio de 2017. La población estudiada fue menor de 35 semanas de gestación, menores de 5 días de</w:t>
      </w:r>
      <w:r w:rsidR="002B7B69">
        <w:rPr>
          <w:sz w:val="17"/>
          <w:szCs w:val="17"/>
        </w:rPr>
        <w:t xml:space="preserve"> </w:t>
      </w:r>
      <w:r>
        <w:rPr>
          <w:sz w:val="17"/>
          <w:szCs w:val="17"/>
        </w:rPr>
        <w:t>vida, con un total de 70 casos; 10 se excluyeron, para un total de 60, y de estos, a 6 se les</w:t>
      </w:r>
      <w:r w:rsidR="00BD113D">
        <w:rPr>
          <w:sz w:val="17"/>
          <w:szCs w:val="17"/>
        </w:rPr>
        <w:t xml:space="preserve"> </w:t>
      </w:r>
      <w:r>
        <w:rPr>
          <w:sz w:val="17"/>
          <w:szCs w:val="17"/>
        </w:rPr>
        <w:t>ofreció un segundo ciclo en el que se usó paracetamol endovenoso a dosis de 15 mg/kg pordosis cada 6 h, hasta un total de 12 dosis, por presentar persistencia del conducto arteriosocon repercusión hemodinámica. Se efectuó estudio sérico de plaquetas, hepático, renal y deultrasonido transfontanelar tomados 24 h antes y después de cada ciclo; descripción del aporte</w:t>
      </w:r>
      <w:r w:rsidR="004402B4">
        <w:rPr>
          <w:sz w:val="17"/>
          <w:szCs w:val="17"/>
        </w:rPr>
        <w:t xml:space="preserve"> </w:t>
      </w:r>
      <w:r>
        <w:rPr>
          <w:sz w:val="17"/>
          <w:szCs w:val="17"/>
        </w:rPr>
        <w:t>hídrico del primer al quinto día.</w:t>
      </w:r>
    </w:p>
    <w:p w14:paraId="2E20EE0F" w14:textId="77777777" w:rsidR="00EB45C3" w:rsidRDefault="00504380">
      <w:pPr>
        <w:rPr>
          <w:sz w:val="17"/>
          <w:szCs w:val="17"/>
        </w:rPr>
      </w:pPr>
      <w:r w:rsidRPr="00504380">
        <w:rPr>
          <w:b/>
          <w:i/>
          <w:iCs/>
          <w:sz w:val="17"/>
          <w:szCs w:val="17"/>
        </w:rPr>
        <w:t>Resultados:</w:t>
      </w:r>
      <w:r>
        <w:rPr>
          <w:i/>
          <w:iCs/>
          <w:sz w:val="17"/>
          <w:szCs w:val="17"/>
        </w:rPr>
        <w:t xml:space="preserve"> </w:t>
      </w:r>
      <w:r>
        <w:rPr>
          <w:sz w:val="17"/>
          <w:szCs w:val="17"/>
        </w:rPr>
        <w:t>Edad gestacional y peso al nacimiento, sin relación con el cierre del conducto arterioso (p = 0.622 y p = 0.215). Se revalida el uso del corticoide prenatal como factor favorable para el cierre del conducto arterioso persistente (p &lt; 0.001). Con el total de 60 pacientes, se obtuvo una efectividad del 90%. No se presentaron datos de sangrado interventricular en el primer ciclo. Con respecto a las enzimas hepáticas y la función renal, no se mostró incremento.</w:t>
      </w:r>
      <w:r w:rsidR="00EB45C3">
        <w:rPr>
          <w:sz w:val="17"/>
          <w:szCs w:val="17"/>
        </w:rPr>
        <w:t xml:space="preserve"> </w:t>
      </w:r>
      <w:r>
        <w:rPr>
          <w:sz w:val="17"/>
          <w:szCs w:val="17"/>
        </w:rPr>
        <w:t>Dos pacientes fallecieron durante el estudio.</w:t>
      </w:r>
    </w:p>
    <w:p w14:paraId="6B836642" w14:textId="210D3730" w:rsidR="000B7A7D" w:rsidRDefault="00504380">
      <w:pPr>
        <w:rPr>
          <w:rFonts w:cs="Calibri"/>
          <w:b/>
          <w:bCs/>
          <w:sz w:val="28"/>
          <w:szCs w:val="28"/>
        </w:rPr>
      </w:pPr>
      <w:r w:rsidRPr="00EB45C3">
        <w:rPr>
          <w:b/>
          <w:i/>
          <w:iCs/>
          <w:sz w:val="17"/>
          <w:szCs w:val="17"/>
        </w:rPr>
        <w:t>Conclusiones:</w:t>
      </w:r>
      <w:r>
        <w:rPr>
          <w:i/>
          <w:iCs/>
          <w:sz w:val="17"/>
          <w:szCs w:val="17"/>
        </w:rPr>
        <w:t xml:space="preserve"> </w:t>
      </w:r>
      <w:r>
        <w:rPr>
          <w:sz w:val="17"/>
          <w:szCs w:val="17"/>
        </w:rPr>
        <w:t>El paracetamol para el cierre del conducto arterioso, en contraindicación deibuprofeno, mostró una adecuada efectividad y seguridad en neonatos afectados en la ciudad</w:t>
      </w:r>
      <w:r w:rsidR="0031173C">
        <w:rPr>
          <w:sz w:val="17"/>
          <w:szCs w:val="17"/>
        </w:rPr>
        <w:t xml:space="preserve"> </w:t>
      </w:r>
      <w:r>
        <w:rPr>
          <w:sz w:val="17"/>
          <w:szCs w:val="17"/>
        </w:rPr>
        <w:t>de Bogotá.</w:t>
      </w:r>
    </w:p>
    <w:p w14:paraId="2AF6D6E8" w14:textId="77777777" w:rsidR="000B7A7D" w:rsidRDefault="000B7A7D">
      <w:pPr>
        <w:rPr>
          <w:rFonts w:cs="Calibri"/>
          <w:b/>
          <w:bCs/>
          <w:sz w:val="28"/>
          <w:szCs w:val="28"/>
        </w:rPr>
      </w:pPr>
    </w:p>
    <w:p w14:paraId="5A9F4F88" w14:textId="77777777" w:rsidR="000B7A7D" w:rsidRDefault="000B7A7D">
      <w:pPr>
        <w:rPr>
          <w:rFonts w:cs="Calibri"/>
          <w:b/>
          <w:bCs/>
          <w:sz w:val="28"/>
          <w:szCs w:val="28"/>
        </w:rPr>
      </w:pPr>
    </w:p>
    <w:p w14:paraId="40E25B16" w14:textId="0D115FEB" w:rsidR="00E81476" w:rsidRPr="00BD113D" w:rsidRDefault="001B5258">
      <w:pPr>
        <w:rPr>
          <w:rFonts w:cs="Calibri"/>
          <w:b/>
          <w:bCs/>
          <w:sz w:val="28"/>
          <w:szCs w:val="28"/>
          <w:lang w:val="en-US"/>
        </w:rPr>
      </w:pPr>
      <w:r w:rsidRPr="00BD113D">
        <w:rPr>
          <w:rFonts w:cs="Calibri"/>
          <w:b/>
          <w:bCs/>
          <w:sz w:val="28"/>
          <w:szCs w:val="28"/>
          <w:lang w:val="en-US"/>
        </w:rPr>
        <w:t>Use of paracetamol</w:t>
      </w:r>
      <w:r w:rsidR="009161CA">
        <w:rPr>
          <w:rFonts w:cs="Calibri"/>
          <w:b/>
          <w:bCs/>
          <w:sz w:val="28"/>
          <w:szCs w:val="28"/>
          <w:lang w:val="en-US"/>
        </w:rPr>
        <w:t xml:space="preserve"> </w:t>
      </w:r>
      <w:r w:rsidR="009161CA" w:rsidRPr="00BD113D">
        <w:rPr>
          <w:rFonts w:cs="Calibri"/>
          <w:b/>
          <w:bCs/>
          <w:sz w:val="28"/>
          <w:szCs w:val="28"/>
          <w:lang w:val="en-US"/>
        </w:rPr>
        <w:t>for closure of patent ductus arteriosus</w:t>
      </w:r>
      <w:r w:rsidRPr="00BD113D">
        <w:rPr>
          <w:rFonts w:cs="Calibri"/>
          <w:b/>
          <w:bCs/>
          <w:sz w:val="28"/>
          <w:szCs w:val="28"/>
          <w:lang w:val="en-US"/>
        </w:rPr>
        <w:t xml:space="preserve"> in </w:t>
      </w:r>
      <w:r w:rsidR="002B7B69" w:rsidRPr="00BD113D">
        <w:rPr>
          <w:rFonts w:cs="Calibri"/>
          <w:b/>
          <w:bCs/>
          <w:sz w:val="28"/>
          <w:szCs w:val="28"/>
          <w:lang w:val="en-US"/>
        </w:rPr>
        <w:t xml:space="preserve">newborns less than 35 weeks of gestational age </w:t>
      </w:r>
    </w:p>
    <w:p w14:paraId="4828EFCB" w14:textId="6E8CC3CF" w:rsidR="00E81476" w:rsidRDefault="000879B8">
      <w:pPr>
        <w:rPr>
          <w:rFonts w:cs="Calibri"/>
          <w:b/>
          <w:bCs/>
          <w:sz w:val="28"/>
          <w:szCs w:val="28"/>
        </w:rPr>
      </w:pPr>
      <w:r>
        <w:rPr>
          <w:b/>
          <w:bCs/>
          <w:sz w:val="23"/>
          <w:szCs w:val="23"/>
        </w:rPr>
        <w:t>E. Gálvez-Cuitiva</w:t>
      </w:r>
      <w:r>
        <w:rPr>
          <w:rFonts w:ascii="MS Mincho" w:eastAsia="MS Mincho" w:hAnsi="MS Mincho" w:cs="MS Mincho"/>
          <w:sz w:val="16"/>
          <w:szCs w:val="16"/>
        </w:rPr>
        <w:t>∗</w:t>
      </w:r>
      <w:r>
        <w:rPr>
          <w:b/>
          <w:bCs/>
          <w:sz w:val="23"/>
          <w:szCs w:val="23"/>
        </w:rPr>
        <w:t>y G. Lonngi-Rojas</w:t>
      </w:r>
    </w:p>
    <w:p w14:paraId="2940BC2F" w14:textId="77777777" w:rsidR="000879B8" w:rsidRDefault="000879B8" w:rsidP="00504380">
      <w:pPr>
        <w:outlineLvl w:val="0"/>
        <w:rPr>
          <w:rFonts w:cs="Calibri"/>
          <w:b/>
          <w:bCs/>
          <w:sz w:val="28"/>
          <w:szCs w:val="28"/>
        </w:rPr>
      </w:pPr>
    </w:p>
    <w:p w14:paraId="4265E256" w14:textId="46CD2C4A" w:rsidR="001B5258" w:rsidRPr="00BD113D" w:rsidRDefault="001B5258" w:rsidP="00504380">
      <w:pPr>
        <w:outlineLvl w:val="0"/>
        <w:rPr>
          <w:rFonts w:cs="Calibri"/>
          <w:b/>
          <w:bCs/>
          <w:sz w:val="28"/>
          <w:szCs w:val="28"/>
          <w:lang w:val="en-US"/>
        </w:rPr>
      </w:pPr>
      <w:r w:rsidRPr="00BD113D">
        <w:rPr>
          <w:rFonts w:cs="Calibri"/>
          <w:b/>
          <w:bCs/>
          <w:sz w:val="28"/>
          <w:szCs w:val="28"/>
          <w:lang w:val="en-US"/>
        </w:rPr>
        <w:t>Abstract</w:t>
      </w:r>
    </w:p>
    <w:p w14:paraId="59A8C326" w14:textId="77777777" w:rsidR="001B5258" w:rsidRPr="00BD113D" w:rsidRDefault="001B5258">
      <w:pPr>
        <w:rPr>
          <w:rFonts w:ascii="Arial" w:hAnsi="Arial" w:cs="Arial"/>
          <w:b/>
          <w:bCs/>
          <w:sz w:val="28"/>
          <w:szCs w:val="28"/>
          <w:lang w:val="en-US"/>
        </w:rPr>
      </w:pPr>
    </w:p>
    <w:p w14:paraId="53858113" w14:textId="6E996DC5" w:rsidR="00885118" w:rsidRPr="00BD113D" w:rsidRDefault="001B5258" w:rsidP="00885118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BD113D">
        <w:rPr>
          <w:rFonts w:ascii="Arial" w:hAnsi="Arial" w:cs="Arial"/>
          <w:b/>
          <w:iCs/>
          <w:sz w:val="28"/>
          <w:szCs w:val="28"/>
          <w:lang w:val="en-US"/>
        </w:rPr>
        <w:t>Objective:</w:t>
      </w:r>
      <w:r w:rsidRPr="00BD113D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4B1870" w:rsidRPr="00BD113D">
        <w:rPr>
          <w:rFonts w:cs="Calibri"/>
          <w:sz w:val="28"/>
          <w:szCs w:val="28"/>
          <w:lang w:val="en-US"/>
        </w:rPr>
        <w:t>T</w:t>
      </w:r>
      <w:r w:rsidR="00885118" w:rsidRPr="00BD113D">
        <w:rPr>
          <w:rFonts w:cs="Calibri"/>
          <w:sz w:val="28"/>
          <w:szCs w:val="28"/>
          <w:lang w:val="en-US"/>
        </w:rPr>
        <w:t>o d</w:t>
      </w:r>
      <w:r w:rsidRPr="00BD113D">
        <w:rPr>
          <w:rFonts w:cs="Calibri"/>
          <w:sz w:val="28"/>
          <w:szCs w:val="28"/>
          <w:lang w:val="en-US"/>
        </w:rPr>
        <w:t>escribe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experience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with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use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of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paracetamol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in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pharmacological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closure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of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patent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ductus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arteriosus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with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F73F50">
        <w:rPr>
          <w:rFonts w:cs="Calibri"/>
          <w:sz w:val="28"/>
          <w:szCs w:val="28"/>
          <w:lang w:val="en-US"/>
        </w:rPr>
        <w:t>h</w:t>
      </w:r>
      <w:r w:rsidRPr="00BD113D">
        <w:rPr>
          <w:rFonts w:cs="Calibri"/>
          <w:sz w:val="28"/>
          <w:szCs w:val="28"/>
          <w:lang w:val="en-US"/>
        </w:rPr>
        <w:t>emodynamic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repercussion</w:t>
      </w:r>
      <w:r w:rsidR="009161CA">
        <w:rPr>
          <w:rFonts w:cs="Calibri"/>
          <w:sz w:val="28"/>
          <w:szCs w:val="28"/>
          <w:lang w:val="en-US"/>
        </w:rPr>
        <w:t>s</w:t>
      </w:r>
      <w:r w:rsidRPr="00BD113D">
        <w:rPr>
          <w:rFonts w:cs="Calibri"/>
          <w:sz w:val="28"/>
          <w:szCs w:val="28"/>
          <w:lang w:val="en-US"/>
        </w:rPr>
        <w:t>.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</w:p>
    <w:p w14:paraId="43B591B1" w14:textId="77777777" w:rsidR="00885118" w:rsidRPr="00BD113D" w:rsidRDefault="00885118" w:rsidP="00885118">
      <w:pPr>
        <w:rPr>
          <w:rFonts w:cs="Calibri"/>
          <w:sz w:val="28"/>
          <w:szCs w:val="28"/>
          <w:lang w:val="en-US"/>
        </w:rPr>
      </w:pPr>
    </w:p>
    <w:p w14:paraId="27A2FA56" w14:textId="732A33D8" w:rsidR="00B34AE6" w:rsidRPr="00BD113D" w:rsidRDefault="00444208" w:rsidP="00885118">
      <w:pPr>
        <w:rPr>
          <w:rFonts w:cs="Calibri"/>
          <w:sz w:val="28"/>
          <w:szCs w:val="28"/>
          <w:lang w:val="en-US"/>
        </w:rPr>
      </w:pPr>
      <w:r>
        <w:rPr>
          <w:rFonts w:cs="Calibri"/>
          <w:b/>
          <w:sz w:val="28"/>
          <w:szCs w:val="28"/>
          <w:lang w:val="en-US"/>
        </w:rPr>
        <w:t>M</w:t>
      </w:r>
      <w:r w:rsidR="001B5258" w:rsidRPr="00BD113D">
        <w:rPr>
          <w:rFonts w:cs="Calibri"/>
          <w:b/>
          <w:sz w:val="28"/>
          <w:szCs w:val="28"/>
          <w:lang w:val="en-US"/>
        </w:rPr>
        <w:t>ethods:</w:t>
      </w:r>
      <w:r w:rsidR="001B5258" w:rsidRPr="00BD113D">
        <w:rPr>
          <w:rFonts w:cs="Calibri"/>
          <w:sz w:val="28"/>
          <w:szCs w:val="28"/>
          <w:lang w:val="en-US"/>
        </w:rPr>
        <w:t xml:space="preserve"> A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retrospective</w:t>
      </w:r>
      <w:r w:rsidR="00B74D23" w:rsidRPr="00BD113D">
        <w:rPr>
          <w:rFonts w:cs="Calibri"/>
          <w:sz w:val="28"/>
          <w:szCs w:val="28"/>
          <w:lang w:val="en-US"/>
        </w:rPr>
        <w:t>,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observational</w:t>
      </w:r>
      <w:r w:rsidR="009161CA">
        <w:rPr>
          <w:rFonts w:cs="Calibri"/>
          <w:sz w:val="28"/>
          <w:szCs w:val="28"/>
          <w:lang w:val="en-US"/>
        </w:rPr>
        <w:t xml:space="preserve">, </w:t>
      </w:r>
      <w:r w:rsidR="002B7B69" w:rsidRPr="00BD113D">
        <w:rPr>
          <w:rFonts w:cs="Calibri"/>
          <w:sz w:val="28"/>
          <w:szCs w:val="28"/>
          <w:lang w:val="en-US"/>
        </w:rPr>
        <w:t xml:space="preserve">descriptive </w:t>
      </w:r>
      <w:r w:rsidR="001B5258" w:rsidRPr="00BD113D">
        <w:rPr>
          <w:rFonts w:cs="Calibri"/>
          <w:sz w:val="28"/>
          <w:szCs w:val="28"/>
          <w:lang w:val="en-US"/>
        </w:rPr>
        <w:t>study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was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conducted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from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January</w:t>
      </w:r>
      <w:r>
        <w:rPr>
          <w:rFonts w:cs="Calibri"/>
          <w:sz w:val="28"/>
          <w:szCs w:val="28"/>
          <w:lang w:val="en-US"/>
        </w:rPr>
        <w:t xml:space="preserve"> 1</w:t>
      </w:r>
      <w:r w:rsidRPr="00444208">
        <w:rPr>
          <w:rFonts w:cs="Calibri"/>
          <w:sz w:val="28"/>
          <w:szCs w:val="28"/>
          <w:vertAlign w:val="superscript"/>
          <w:lang w:val="en-US"/>
        </w:rPr>
        <w:t>st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2014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to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June</w:t>
      </w:r>
      <w:r>
        <w:rPr>
          <w:rFonts w:cs="Calibri"/>
          <w:sz w:val="28"/>
          <w:szCs w:val="28"/>
          <w:lang w:val="en-US"/>
        </w:rPr>
        <w:t xml:space="preserve"> 1</w:t>
      </w:r>
      <w:r w:rsidRPr="00444208">
        <w:rPr>
          <w:rFonts w:cs="Calibri"/>
          <w:sz w:val="28"/>
          <w:szCs w:val="28"/>
          <w:vertAlign w:val="superscript"/>
          <w:lang w:val="en-US"/>
        </w:rPr>
        <w:t>st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2017,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in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2B7B69" w:rsidRPr="00BD113D">
        <w:rPr>
          <w:rFonts w:cs="Calibri"/>
          <w:sz w:val="28"/>
          <w:szCs w:val="28"/>
          <w:lang w:val="en-US"/>
        </w:rPr>
        <w:t xml:space="preserve">premature babies </w:t>
      </w:r>
      <w:r w:rsidR="009161CA">
        <w:rPr>
          <w:rFonts w:cs="Calibri"/>
          <w:sz w:val="28"/>
          <w:szCs w:val="28"/>
          <w:lang w:val="en-US"/>
        </w:rPr>
        <w:t xml:space="preserve">of </w:t>
      </w:r>
      <w:r w:rsidR="001B5258" w:rsidRPr="00BD113D">
        <w:rPr>
          <w:rFonts w:cs="Calibri"/>
          <w:sz w:val="28"/>
          <w:szCs w:val="28"/>
          <w:lang w:val="en-US"/>
        </w:rPr>
        <w:t>less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than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35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weeks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of</w:t>
      </w:r>
      <w:r w:rsidR="00403636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gestation</w:t>
      </w:r>
      <w:r>
        <w:rPr>
          <w:rFonts w:cs="Calibri"/>
          <w:sz w:val="28"/>
          <w:szCs w:val="28"/>
          <w:lang w:val="en-US"/>
        </w:rPr>
        <w:t>al</w:t>
      </w:r>
      <w:r w:rsidR="00B74D23" w:rsidRPr="00BD113D">
        <w:rPr>
          <w:rFonts w:cs="Calibri"/>
          <w:sz w:val="28"/>
          <w:szCs w:val="28"/>
          <w:lang w:val="en-US"/>
        </w:rPr>
        <w:t xml:space="preserve"> </w:t>
      </w:r>
      <w:r>
        <w:rPr>
          <w:rFonts w:cs="Calibri"/>
          <w:sz w:val="28"/>
          <w:szCs w:val="28"/>
          <w:lang w:val="en-US"/>
        </w:rPr>
        <w:t xml:space="preserve">age and </w:t>
      </w:r>
      <w:r w:rsidR="001B5258" w:rsidRPr="00BD113D">
        <w:rPr>
          <w:rFonts w:cs="Calibri"/>
          <w:sz w:val="28"/>
          <w:szCs w:val="28"/>
          <w:lang w:val="en-US"/>
        </w:rPr>
        <w:t>less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than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5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days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of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life.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4402B4" w:rsidRPr="00BD113D">
        <w:rPr>
          <w:rFonts w:cs="Calibri"/>
          <w:sz w:val="28"/>
          <w:szCs w:val="28"/>
          <w:lang w:val="en-US"/>
        </w:rPr>
        <w:t>A dose of 15mg per kg every 6 hours of i</w:t>
      </w:r>
      <w:r w:rsidR="004F272A" w:rsidRPr="00BD113D">
        <w:rPr>
          <w:rFonts w:cs="Calibri"/>
          <w:sz w:val="28"/>
          <w:szCs w:val="28"/>
          <w:lang w:val="en-US"/>
        </w:rPr>
        <w:t>ntravenous parac</w:t>
      </w:r>
      <w:r>
        <w:rPr>
          <w:rFonts w:cs="Calibri"/>
          <w:sz w:val="28"/>
          <w:szCs w:val="28"/>
          <w:lang w:val="en-US"/>
        </w:rPr>
        <w:t>etamol was used, for a total of</w:t>
      </w:r>
      <w:r w:rsidR="004F272A" w:rsidRPr="00BD113D">
        <w:rPr>
          <w:rFonts w:cs="Calibri"/>
          <w:sz w:val="28"/>
          <w:szCs w:val="28"/>
          <w:lang w:val="en-US"/>
        </w:rPr>
        <w:t xml:space="preserve"> </w:t>
      </w:r>
      <w:r w:rsidR="009161CA">
        <w:rPr>
          <w:rFonts w:cs="Calibri"/>
          <w:sz w:val="28"/>
          <w:szCs w:val="28"/>
          <w:lang w:val="en-US"/>
        </w:rPr>
        <w:t>12</w:t>
      </w:r>
      <w:r w:rsidR="004F272A" w:rsidRPr="00BD113D">
        <w:rPr>
          <w:rFonts w:cs="Calibri"/>
          <w:sz w:val="28"/>
          <w:szCs w:val="28"/>
          <w:lang w:val="en-US"/>
        </w:rPr>
        <w:t xml:space="preserve"> doses, on those with persi</w:t>
      </w:r>
      <w:r>
        <w:rPr>
          <w:rFonts w:cs="Calibri"/>
          <w:sz w:val="28"/>
          <w:szCs w:val="28"/>
          <w:lang w:val="en-US"/>
        </w:rPr>
        <w:t>stence of the ductus arteriosus</w:t>
      </w:r>
      <w:r w:rsidR="004F272A" w:rsidRPr="00BD113D">
        <w:rPr>
          <w:rFonts w:cs="Calibri"/>
          <w:sz w:val="28"/>
          <w:szCs w:val="28"/>
          <w:lang w:val="en-US"/>
        </w:rPr>
        <w:t xml:space="preserve"> with hemodynamic repercussion</w:t>
      </w:r>
      <w:r w:rsidR="009161CA">
        <w:rPr>
          <w:rFonts w:cs="Calibri"/>
          <w:sz w:val="28"/>
          <w:szCs w:val="28"/>
          <w:lang w:val="en-US"/>
        </w:rPr>
        <w:t>s</w:t>
      </w:r>
      <w:r>
        <w:rPr>
          <w:rFonts w:cs="Calibri"/>
          <w:sz w:val="28"/>
          <w:szCs w:val="28"/>
          <w:lang w:val="en-US"/>
        </w:rPr>
        <w:t>.</w:t>
      </w:r>
      <w:r w:rsidR="004F272A" w:rsidRPr="00BD113D">
        <w:rPr>
          <w:rFonts w:cs="Calibri"/>
          <w:sz w:val="28"/>
          <w:szCs w:val="28"/>
          <w:lang w:val="en-US"/>
        </w:rPr>
        <w:t xml:space="preserve"> A total of 70 cases were included and 10 were excluded.</w:t>
      </w:r>
      <w:r w:rsidR="004402B4" w:rsidRPr="00BD113D">
        <w:rPr>
          <w:rFonts w:cs="Calibri"/>
          <w:sz w:val="28"/>
          <w:szCs w:val="28"/>
          <w:lang w:val="en-US"/>
        </w:rPr>
        <w:t xml:space="preserve"> 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9161CA">
        <w:rPr>
          <w:rFonts w:cs="Calibri"/>
          <w:sz w:val="28"/>
          <w:szCs w:val="28"/>
          <w:lang w:val="en-US"/>
        </w:rPr>
        <w:t>From t</w:t>
      </w:r>
      <w:r w:rsidR="004F272A" w:rsidRPr="00BD113D">
        <w:rPr>
          <w:rFonts w:cs="Calibri"/>
          <w:sz w:val="28"/>
          <w:szCs w:val="28"/>
          <w:lang w:val="en-US"/>
        </w:rPr>
        <w:t>he remaining 60 cases</w:t>
      </w:r>
      <w:r w:rsidR="004402B4" w:rsidRPr="00BD113D">
        <w:rPr>
          <w:rFonts w:cs="Calibri"/>
          <w:sz w:val="28"/>
          <w:szCs w:val="28"/>
          <w:lang w:val="en-US"/>
        </w:rPr>
        <w:t xml:space="preserve">, </w:t>
      </w:r>
      <w:r w:rsidR="001B5258" w:rsidRPr="00BD113D">
        <w:rPr>
          <w:rFonts w:cs="Calibri"/>
          <w:sz w:val="28"/>
          <w:szCs w:val="28"/>
          <w:lang w:val="en-US"/>
        </w:rPr>
        <w:t>6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9161CA">
        <w:rPr>
          <w:rFonts w:cs="Calibri"/>
          <w:sz w:val="28"/>
          <w:szCs w:val="28"/>
          <w:lang w:val="en-US"/>
        </w:rPr>
        <w:t>underwent to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a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second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cycle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of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B74D23" w:rsidRPr="00BD113D">
        <w:rPr>
          <w:rFonts w:cs="Calibri"/>
          <w:sz w:val="28"/>
          <w:szCs w:val="28"/>
          <w:lang w:val="en-US"/>
        </w:rPr>
        <w:t>para</w:t>
      </w:r>
      <w:r>
        <w:rPr>
          <w:rFonts w:cs="Calibri"/>
          <w:sz w:val="28"/>
          <w:szCs w:val="28"/>
          <w:lang w:val="en-US"/>
        </w:rPr>
        <w:t>c</w:t>
      </w:r>
      <w:r w:rsidR="00B74D23" w:rsidRPr="00BD113D">
        <w:rPr>
          <w:rFonts w:cs="Calibri"/>
          <w:sz w:val="28"/>
          <w:szCs w:val="28"/>
          <w:lang w:val="en-US"/>
        </w:rPr>
        <w:t xml:space="preserve">etamol </w:t>
      </w:r>
      <w:r w:rsidR="009161CA">
        <w:rPr>
          <w:rFonts w:cs="Calibri"/>
          <w:sz w:val="28"/>
          <w:szCs w:val="28"/>
          <w:lang w:val="en-US"/>
        </w:rPr>
        <w:t>for persistence of the</w:t>
      </w:r>
      <w:r w:rsidR="00B74D23" w:rsidRPr="00BD113D">
        <w:rPr>
          <w:rFonts w:cs="Calibri"/>
          <w:sz w:val="28"/>
          <w:szCs w:val="28"/>
          <w:lang w:val="en-US"/>
        </w:rPr>
        <w:t xml:space="preserve"> </w:t>
      </w:r>
      <w:r w:rsidR="00F73F50">
        <w:rPr>
          <w:rFonts w:cs="Calibri"/>
          <w:sz w:val="28"/>
          <w:szCs w:val="28"/>
          <w:lang w:val="en-US"/>
        </w:rPr>
        <w:t>h</w:t>
      </w:r>
      <w:r w:rsidR="001B5258" w:rsidRPr="00BD113D">
        <w:rPr>
          <w:rFonts w:cs="Calibri"/>
          <w:sz w:val="28"/>
          <w:szCs w:val="28"/>
          <w:lang w:val="en-US"/>
        </w:rPr>
        <w:t>emodynamic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repercussion</w:t>
      </w:r>
      <w:r w:rsidR="009161CA">
        <w:rPr>
          <w:rFonts w:cs="Calibri"/>
          <w:sz w:val="28"/>
          <w:szCs w:val="28"/>
          <w:lang w:val="en-US"/>
        </w:rPr>
        <w:t>s</w:t>
      </w:r>
      <w:r>
        <w:rPr>
          <w:rFonts w:cs="Calibri"/>
          <w:sz w:val="28"/>
          <w:szCs w:val="28"/>
          <w:lang w:val="en-US"/>
        </w:rPr>
        <w:t xml:space="preserve"> after the</w:t>
      </w:r>
      <w:r w:rsidR="00B74D23" w:rsidRPr="00BD113D">
        <w:rPr>
          <w:rFonts w:cs="Calibri"/>
          <w:sz w:val="28"/>
          <w:szCs w:val="28"/>
          <w:lang w:val="en-US"/>
        </w:rPr>
        <w:t xml:space="preserve"> first cycle</w:t>
      </w:r>
      <w:r w:rsidR="001B5258" w:rsidRPr="00BD113D">
        <w:rPr>
          <w:rFonts w:cs="Calibri"/>
          <w:sz w:val="28"/>
          <w:szCs w:val="28"/>
          <w:lang w:val="en-US"/>
        </w:rPr>
        <w:t>.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9161CA">
        <w:rPr>
          <w:rFonts w:cs="Calibri"/>
          <w:sz w:val="28"/>
          <w:szCs w:val="28"/>
          <w:lang w:val="en-US"/>
        </w:rPr>
        <w:t>Platelet</w:t>
      </w:r>
      <w:r>
        <w:rPr>
          <w:rFonts w:cs="Calibri"/>
          <w:sz w:val="28"/>
          <w:szCs w:val="28"/>
          <w:lang w:val="en-US"/>
        </w:rPr>
        <w:t xml:space="preserve"> </w:t>
      </w:r>
      <w:r w:rsidR="004F272A" w:rsidRPr="00BD113D">
        <w:rPr>
          <w:rFonts w:cs="Calibri"/>
          <w:sz w:val="28"/>
          <w:szCs w:val="28"/>
          <w:lang w:val="en-US"/>
        </w:rPr>
        <w:t>count</w:t>
      </w:r>
      <w:r w:rsidR="001B5258" w:rsidRPr="00BD113D">
        <w:rPr>
          <w:rFonts w:cs="Calibri"/>
          <w:sz w:val="28"/>
          <w:szCs w:val="28"/>
          <w:lang w:val="en-US"/>
        </w:rPr>
        <w:t>,</w:t>
      </w:r>
      <w:r w:rsidR="009161CA">
        <w:rPr>
          <w:rFonts w:cs="Calibri"/>
          <w:sz w:val="28"/>
          <w:szCs w:val="28"/>
          <w:lang w:val="en-US"/>
        </w:rPr>
        <w:t xml:space="preserve"> kidney and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liver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function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tests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9161CA">
        <w:rPr>
          <w:rFonts w:cs="Calibri"/>
          <w:sz w:val="28"/>
          <w:szCs w:val="28"/>
          <w:lang w:val="en-US"/>
        </w:rPr>
        <w:t>and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transfontanel</w:t>
      </w:r>
      <w:r>
        <w:rPr>
          <w:rFonts w:cs="Calibri"/>
          <w:sz w:val="28"/>
          <w:szCs w:val="28"/>
          <w:lang w:val="en-US"/>
        </w:rPr>
        <w:t>l</w:t>
      </w:r>
      <w:r w:rsidR="0082182E">
        <w:rPr>
          <w:rFonts w:cs="Calibri"/>
          <w:sz w:val="28"/>
          <w:szCs w:val="28"/>
          <w:lang w:val="en-US"/>
        </w:rPr>
        <w:t>ar</w:t>
      </w:r>
      <w:bookmarkStart w:id="0" w:name="_GoBack"/>
      <w:bookmarkEnd w:id="0"/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ultrasound</w:t>
      </w:r>
      <w:r w:rsidR="009161CA">
        <w:rPr>
          <w:rFonts w:cs="Calibri"/>
          <w:sz w:val="28"/>
          <w:szCs w:val="28"/>
          <w:lang w:val="en-US"/>
        </w:rPr>
        <w:t xml:space="preserve"> were performed </w:t>
      </w:r>
      <w:r w:rsidR="001B5258" w:rsidRPr="00BD113D">
        <w:rPr>
          <w:rFonts w:cs="Calibri"/>
          <w:sz w:val="28"/>
          <w:szCs w:val="28"/>
          <w:lang w:val="en-US"/>
        </w:rPr>
        <w:t>24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hours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before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and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after</w:t>
      </w:r>
      <w:r w:rsidR="004402B4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each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cycle,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as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well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as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fluid</w:t>
      </w:r>
      <w:r w:rsidR="004402B4" w:rsidRPr="00BD113D">
        <w:rPr>
          <w:rFonts w:cs="Calibri"/>
          <w:sz w:val="28"/>
          <w:szCs w:val="28"/>
          <w:lang w:val="en-US"/>
        </w:rPr>
        <w:t>s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balance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4402B4" w:rsidRPr="00BD113D">
        <w:rPr>
          <w:rFonts w:cs="Calibri"/>
          <w:sz w:val="28"/>
          <w:szCs w:val="28"/>
          <w:lang w:val="en-US"/>
        </w:rPr>
        <w:t xml:space="preserve">at </w:t>
      </w:r>
      <w:r w:rsidR="001B5258" w:rsidRPr="00BD113D">
        <w:rPr>
          <w:rFonts w:cs="Calibri"/>
          <w:sz w:val="28"/>
          <w:szCs w:val="28"/>
          <w:lang w:val="en-US"/>
        </w:rPr>
        <w:t>first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to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fifth</w:t>
      </w:r>
      <w:r w:rsidR="004B1870" w:rsidRPr="00BD113D">
        <w:rPr>
          <w:rFonts w:cs="Calibri"/>
          <w:sz w:val="28"/>
          <w:szCs w:val="28"/>
          <w:lang w:val="en-US"/>
        </w:rPr>
        <w:t xml:space="preserve"> </w:t>
      </w:r>
      <w:r w:rsidR="001B5258" w:rsidRPr="00BD113D">
        <w:rPr>
          <w:rFonts w:cs="Calibri"/>
          <w:sz w:val="28"/>
          <w:szCs w:val="28"/>
          <w:lang w:val="en-US"/>
        </w:rPr>
        <w:t>day</w:t>
      </w:r>
      <w:r w:rsidR="00E81476" w:rsidRPr="00BD113D">
        <w:rPr>
          <w:rFonts w:cs="Calibri"/>
          <w:sz w:val="28"/>
          <w:szCs w:val="28"/>
          <w:lang w:val="en-US"/>
        </w:rPr>
        <w:t xml:space="preserve"> of life</w:t>
      </w:r>
      <w:r w:rsidR="001B5258" w:rsidRPr="00BD113D">
        <w:rPr>
          <w:rFonts w:cs="Calibri"/>
          <w:sz w:val="28"/>
          <w:szCs w:val="28"/>
          <w:lang w:val="en-US"/>
        </w:rPr>
        <w:t>.</w:t>
      </w:r>
    </w:p>
    <w:p w14:paraId="326A7036" w14:textId="77777777" w:rsidR="00B34AE6" w:rsidRPr="00BD113D" w:rsidRDefault="00B34AE6" w:rsidP="00885118">
      <w:pPr>
        <w:rPr>
          <w:rFonts w:cs="Calibri"/>
          <w:sz w:val="28"/>
          <w:szCs w:val="28"/>
          <w:lang w:val="en-US"/>
        </w:rPr>
      </w:pPr>
    </w:p>
    <w:p w14:paraId="47A64B70" w14:textId="48C841F1" w:rsidR="004402B4" w:rsidRPr="00BD113D" w:rsidRDefault="001B5258" w:rsidP="00885118">
      <w:pPr>
        <w:rPr>
          <w:rFonts w:cs="Calibri"/>
          <w:sz w:val="28"/>
          <w:szCs w:val="28"/>
          <w:lang w:val="en-US"/>
        </w:rPr>
      </w:pPr>
      <w:r w:rsidRPr="00BD113D">
        <w:rPr>
          <w:rFonts w:cs="Calibri"/>
          <w:b/>
          <w:sz w:val="28"/>
          <w:szCs w:val="28"/>
          <w:lang w:val="en-US"/>
        </w:rPr>
        <w:lastRenderedPageBreak/>
        <w:t>Results:</w:t>
      </w:r>
      <w:r w:rsidR="00E81476" w:rsidRPr="00BD113D">
        <w:rPr>
          <w:rFonts w:cs="Calibri"/>
          <w:b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Gestational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age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and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birth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weight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was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unrelated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to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closure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of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E81476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ductus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arteriosus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="00444208">
        <w:rPr>
          <w:rFonts w:cs="Calibri"/>
          <w:sz w:val="28"/>
          <w:szCs w:val="28"/>
          <w:lang w:val="en-US"/>
        </w:rPr>
        <w:t>(p</w:t>
      </w:r>
      <w:r w:rsidRPr="00BD113D">
        <w:rPr>
          <w:rFonts w:cs="Calibri"/>
          <w:sz w:val="28"/>
          <w:szCs w:val="28"/>
          <w:lang w:val="en-US"/>
        </w:rPr>
        <w:t xml:space="preserve"> =.622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and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="00444208">
        <w:rPr>
          <w:rFonts w:cs="Calibri"/>
          <w:sz w:val="28"/>
          <w:szCs w:val="28"/>
          <w:lang w:val="en-US"/>
        </w:rPr>
        <w:t>p</w:t>
      </w:r>
      <w:r w:rsidRPr="00BD113D">
        <w:rPr>
          <w:rFonts w:cs="Calibri"/>
          <w:sz w:val="28"/>
          <w:szCs w:val="28"/>
          <w:lang w:val="en-US"/>
        </w:rPr>
        <w:t xml:space="preserve"> =.215).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</w:p>
    <w:p w14:paraId="566DCEE3" w14:textId="4E78F599" w:rsidR="004402B4" w:rsidRPr="00BD113D" w:rsidRDefault="001B5258" w:rsidP="00885118">
      <w:pPr>
        <w:rPr>
          <w:rFonts w:cs="Calibri"/>
          <w:sz w:val="28"/>
          <w:szCs w:val="28"/>
          <w:lang w:val="en-US"/>
        </w:rPr>
      </w:pPr>
      <w:r w:rsidRPr="00BD113D">
        <w:rPr>
          <w:rFonts w:cs="Calibri"/>
          <w:sz w:val="28"/>
          <w:szCs w:val="28"/>
          <w:lang w:val="en-US"/>
        </w:rPr>
        <w:t>The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use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of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prenatal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corticosteroids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="009161CA">
        <w:rPr>
          <w:rFonts w:cs="Calibri"/>
          <w:sz w:val="28"/>
          <w:szCs w:val="28"/>
          <w:lang w:val="en-US"/>
        </w:rPr>
        <w:t>w</w:t>
      </w:r>
      <w:r w:rsidRPr="00BD113D">
        <w:rPr>
          <w:rFonts w:cs="Calibri"/>
          <w:sz w:val="28"/>
          <w:szCs w:val="28"/>
          <w:lang w:val="en-US"/>
        </w:rPr>
        <w:t>as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="00444208" w:rsidRPr="00BD113D">
        <w:rPr>
          <w:rFonts w:cs="Calibri"/>
          <w:sz w:val="28"/>
          <w:szCs w:val="28"/>
          <w:lang w:val="en-US"/>
        </w:rPr>
        <w:t>favorable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factor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for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closure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of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patent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ductus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arteriosus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="00444208">
        <w:rPr>
          <w:rFonts w:cs="Calibri"/>
          <w:sz w:val="28"/>
          <w:szCs w:val="28"/>
          <w:lang w:val="en-US"/>
        </w:rPr>
        <w:t>(p</w:t>
      </w:r>
      <w:r w:rsidRPr="00BD113D">
        <w:rPr>
          <w:rFonts w:cs="Calibri"/>
          <w:sz w:val="28"/>
          <w:szCs w:val="28"/>
          <w:lang w:val="en-US"/>
        </w:rPr>
        <w:t xml:space="preserve"> &lt;.001).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</w:p>
    <w:p w14:paraId="11039321" w14:textId="77777777" w:rsidR="004402B4" w:rsidRPr="00BD113D" w:rsidRDefault="001B5258" w:rsidP="00885118">
      <w:pPr>
        <w:rPr>
          <w:rFonts w:cs="Calibri"/>
          <w:sz w:val="28"/>
          <w:szCs w:val="28"/>
          <w:lang w:val="en-US"/>
        </w:rPr>
      </w:pPr>
      <w:r w:rsidRPr="00BD113D">
        <w:rPr>
          <w:rFonts w:cs="Calibri"/>
          <w:sz w:val="28"/>
          <w:szCs w:val="28"/>
          <w:lang w:val="en-US"/>
        </w:rPr>
        <w:t>An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effectiveness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of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90%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was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obtained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in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total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of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60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patients.</w:t>
      </w:r>
    </w:p>
    <w:p w14:paraId="721D07F6" w14:textId="77777777" w:rsidR="00F51E31" w:rsidRPr="00BD113D" w:rsidRDefault="001B5258" w:rsidP="00885118">
      <w:pPr>
        <w:rPr>
          <w:rFonts w:cs="Calibri"/>
          <w:sz w:val="28"/>
          <w:szCs w:val="28"/>
          <w:lang w:val="en-US"/>
        </w:rPr>
      </w:pPr>
      <w:r w:rsidRPr="00BD113D">
        <w:rPr>
          <w:rFonts w:cs="Calibri"/>
          <w:sz w:val="28"/>
          <w:szCs w:val="28"/>
          <w:lang w:val="en-US"/>
        </w:rPr>
        <w:t>There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was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no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evidence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of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interventricular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bleeding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in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first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cycle.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There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was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no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increase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in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liver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enzymes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or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renal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function</w:t>
      </w:r>
      <w:r w:rsidR="004402B4" w:rsidRPr="00BD113D">
        <w:rPr>
          <w:rFonts w:cs="Calibri"/>
          <w:sz w:val="28"/>
          <w:szCs w:val="28"/>
          <w:lang w:val="en-US"/>
        </w:rPr>
        <w:t xml:space="preserve"> failure</w:t>
      </w:r>
      <w:r w:rsidRPr="00BD113D">
        <w:rPr>
          <w:rFonts w:cs="Calibri"/>
          <w:sz w:val="28"/>
          <w:szCs w:val="28"/>
          <w:lang w:val="en-US"/>
        </w:rPr>
        <w:t>.</w:t>
      </w:r>
    </w:p>
    <w:p w14:paraId="385F9F95" w14:textId="5EC74C2C" w:rsidR="00885118" w:rsidRPr="00BD113D" w:rsidRDefault="001B5258" w:rsidP="00885118">
      <w:pPr>
        <w:rPr>
          <w:rFonts w:cs="Calibri"/>
          <w:sz w:val="28"/>
          <w:szCs w:val="28"/>
          <w:lang w:val="en-US"/>
        </w:rPr>
      </w:pPr>
      <w:r w:rsidRPr="00BD113D">
        <w:rPr>
          <w:rFonts w:cs="Calibri"/>
          <w:sz w:val="28"/>
          <w:szCs w:val="28"/>
          <w:lang w:val="en-US"/>
        </w:rPr>
        <w:t>Two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patients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died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during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study.</w:t>
      </w:r>
    </w:p>
    <w:p w14:paraId="4779FA69" w14:textId="344CE22C" w:rsidR="00A254E7" w:rsidRPr="00BD113D" w:rsidRDefault="001B5258" w:rsidP="00885118">
      <w:pPr>
        <w:rPr>
          <w:rFonts w:cs="Calibri"/>
          <w:sz w:val="28"/>
          <w:szCs w:val="28"/>
          <w:lang w:val="en-US"/>
        </w:rPr>
      </w:pPr>
      <w:r w:rsidRPr="00BD113D">
        <w:rPr>
          <w:rFonts w:cs="Calibri"/>
          <w:b/>
          <w:sz w:val="28"/>
          <w:szCs w:val="28"/>
          <w:lang w:val="en-US"/>
        </w:rPr>
        <w:t xml:space="preserve">Conclusions: </w:t>
      </w:r>
      <w:r w:rsidRPr="00BD113D">
        <w:rPr>
          <w:rFonts w:cs="Calibri"/>
          <w:sz w:val="28"/>
          <w:szCs w:val="28"/>
          <w:lang w:val="en-US"/>
        </w:rPr>
        <w:t>Paracetamol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for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closure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of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ductus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arteriosus,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in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="009161CA">
        <w:rPr>
          <w:rFonts w:cs="Calibri"/>
          <w:sz w:val="28"/>
          <w:szCs w:val="28"/>
          <w:lang w:val="en-US"/>
        </w:rPr>
        <w:t xml:space="preserve">babies with </w:t>
      </w:r>
      <w:r w:rsidRPr="00BD113D">
        <w:rPr>
          <w:rFonts w:cs="Calibri"/>
          <w:sz w:val="28"/>
          <w:szCs w:val="28"/>
          <w:lang w:val="en-US"/>
        </w:rPr>
        <w:t>contraindication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="009161CA">
        <w:rPr>
          <w:rFonts w:cs="Calibri"/>
          <w:sz w:val="28"/>
          <w:szCs w:val="28"/>
          <w:lang w:val="en-US"/>
        </w:rPr>
        <w:t>for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="00F51E31" w:rsidRPr="00BD113D">
        <w:rPr>
          <w:rFonts w:cs="Calibri"/>
          <w:sz w:val="28"/>
          <w:szCs w:val="28"/>
          <w:lang w:val="en-US"/>
        </w:rPr>
        <w:t>ibu</w:t>
      </w:r>
      <w:r w:rsidRPr="00BD113D">
        <w:rPr>
          <w:rFonts w:cs="Calibri"/>
          <w:sz w:val="28"/>
          <w:szCs w:val="28"/>
          <w:lang w:val="en-US"/>
        </w:rPr>
        <w:t>profen,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showed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adequate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effectiveness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and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safety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in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affected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neonates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in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the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city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of</w:t>
      </w:r>
      <w:r w:rsidR="00923668" w:rsidRPr="00BD113D">
        <w:rPr>
          <w:rFonts w:cs="Calibri"/>
          <w:sz w:val="28"/>
          <w:szCs w:val="28"/>
          <w:lang w:val="en-US"/>
        </w:rPr>
        <w:t xml:space="preserve"> </w:t>
      </w:r>
      <w:r w:rsidRPr="00BD113D">
        <w:rPr>
          <w:rFonts w:cs="Calibri"/>
          <w:sz w:val="28"/>
          <w:szCs w:val="28"/>
          <w:lang w:val="en-US"/>
        </w:rPr>
        <w:t>Bogotá</w:t>
      </w:r>
      <w:r w:rsidR="00923668" w:rsidRPr="00BD113D">
        <w:rPr>
          <w:rFonts w:cs="Calibri"/>
          <w:sz w:val="28"/>
          <w:szCs w:val="28"/>
          <w:lang w:val="en-US"/>
        </w:rPr>
        <w:t>, Colombia.</w:t>
      </w:r>
      <w:r w:rsidRPr="00BD113D">
        <w:rPr>
          <w:rFonts w:cs="Calibri"/>
          <w:sz w:val="28"/>
          <w:szCs w:val="28"/>
          <w:lang w:val="en-US"/>
        </w:rPr>
        <w:t xml:space="preserve"> </w:t>
      </w:r>
    </w:p>
    <w:sectPr w:rsidR="00A254E7" w:rsidRPr="00BD113D" w:rsidSect="008D02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Ｐゴシック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defaultTabStop w:val="708"/>
  <w:hyphenationZone w:val="425"/>
  <w:doNotHyphenateCaps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258"/>
    <w:rsid w:val="000879B8"/>
    <w:rsid w:val="000B7A7D"/>
    <w:rsid w:val="001B5258"/>
    <w:rsid w:val="001E4747"/>
    <w:rsid w:val="001F73FA"/>
    <w:rsid w:val="002B0CA2"/>
    <w:rsid w:val="002B7B69"/>
    <w:rsid w:val="0031173C"/>
    <w:rsid w:val="00403636"/>
    <w:rsid w:val="004402B4"/>
    <w:rsid w:val="004438E0"/>
    <w:rsid w:val="00444208"/>
    <w:rsid w:val="004B1870"/>
    <w:rsid w:val="004F272A"/>
    <w:rsid w:val="00504380"/>
    <w:rsid w:val="0082182E"/>
    <w:rsid w:val="00885118"/>
    <w:rsid w:val="008D02AF"/>
    <w:rsid w:val="009161CA"/>
    <w:rsid w:val="00923668"/>
    <w:rsid w:val="00996663"/>
    <w:rsid w:val="00A254E7"/>
    <w:rsid w:val="00B34AE6"/>
    <w:rsid w:val="00B74D23"/>
    <w:rsid w:val="00BD113D"/>
    <w:rsid w:val="00E5289F"/>
    <w:rsid w:val="00E81476"/>
    <w:rsid w:val="00EB45C3"/>
    <w:rsid w:val="00F51E31"/>
    <w:rsid w:val="00F7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8A82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CO" w:eastAsia="es-E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2954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Gabriel Lonngi</cp:lastModifiedBy>
  <cp:revision>3</cp:revision>
  <dcterms:created xsi:type="dcterms:W3CDTF">2019-01-17T02:26:00Z</dcterms:created>
  <dcterms:modified xsi:type="dcterms:W3CDTF">2019-01-17T02:32:00Z</dcterms:modified>
</cp:coreProperties>
</file>