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C7B" w:rsidRPr="007C6E63" w:rsidRDefault="00857C7B" w:rsidP="00857C7B">
      <w:pPr>
        <w:spacing w:after="0" w:line="240" w:lineRule="auto"/>
        <w:jc w:val="center"/>
        <w:rPr>
          <w:rFonts w:ascii="Century Gothic" w:hAnsi="Century Gothic"/>
        </w:rPr>
      </w:pPr>
      <w:r w:rsidRPr="007C6E63">
        <w:rPr>
          <w:rFonts w:ascii="Century Gothic" w:hAnsi="Century Gothic"/>
        </w:rPr>
        <w:t xml:space="preserve">Formulation, Organoleptic Properties, Proximate Composition and Nutritional Adequacy of Banana Blossom (Musa </w:t>
      </w:r>
      <w:proofErr w:type="spellStart"/>
      <w:r w:rsidRPr="007C6E63">
        <w:rPr>
          <w:rFonts w:ascii="Century Gothic" w:hAnsi="Century Gothic"/>
        </w:rPr>
        <w:t>Sapientum</w:t>
      </w:r>
      <w:proofErr w:type="spellEnd"/>
      <w:r w:rsidRPr="007C6E63">
        <w:rPr>
          <w:rFonts w:ascii="Century Gothic" w:hAnsi="Century Gothic"/>
        </w:rPr>
        <w:t xml:space="preserve"> L) Cookies</w:t>
      </w:r>
    </w:p>
    <w:p w:rsidR="00857C7B" w:rsidRPr="007C6E63" w:rsidRDefault="00857C7B" w:rsidP="00857C7B">
      <w:pPr>
        <w:pStyle w:val="ListParagraph"/>
        <w:spacing w:after="0" w:line="240" w:lineRule="auto"/>
        <w:ind w:left="1985" w:hanging="1418"/>
        <w:jc w:val="center"/>
        <w:rPr>
          <w:rFonts w:ascii="Century Gothic" w:hAnsi="Century Gothic"/>
        </w:rPr>
      </w:pPr>
      <w:r w:rsidRPr="007C6E63">
        <w:rPr>
          <w:rFonts w:ascii="Century Gothic" w:hAnsi="Century Gothic"/>
        </w:rPr>
        <w:t xml:space="preserve">Milagros C. </w:t>
      </w:r>
      <w:proofErr w:type="spellStart"/>
      <w:r w:rsidRPr="007C6E63">
        <w:rPr>
          <w:rFonts w:ascii="Century Gothic" w:hAnsi="Century Gothic"/>
        </w:rPr>
        <w:t>Suyu</w:t>
      </w:r>
      <w:proofErr w:type="spellEnd"/>
      <w:r w:rsidRPr="007C6E63">
        <w:rPr>
          <w:rFonts w:ascii="Century Gothic" w:hAnsi="Century Gothic"/>
        </w:rPr>
        <w:t>,</w:t>
      </w:r>
    </w:p>
    <w:p w:rsidR="00857C7B" w:rsidRPr="007C6E63" w:rsidRDefault="00857C7B" w:rsidP="00857C7B">
      <w:pPr>
        <w:pStyle w:val="ListParagraph"/>
        <w:spacing w:after="0" w:line="240" w:lineRule="auto"/>
        <w:ind w:left="0" w:firstLine="567"/>
        <w:jc w:val="center"/>
        <w:rPr>
          <w:rFonts w:ascii="Century Gothic" w:hAnsi="Century Gothic"/>
        </w:rPr>
      </w:pPr>
      <w:r w:rsidRPr="007C6E63">
        <w:rPr>
          <w:rFonts w:ascii="Century Gothic" w:hAnsi="Century Gothic"/>
        </w:rPr>
        <w:t>Cagayan State University, Andrews Campus,</w:t>
      </w:r>
    </w:p>
    <w:p w:rsidR="00857C7B" w:rsidRPr="007C6E63" w:rsidRDefault="00857C7B" w:rsidP="00857C7B">
      <w:pPr>
        <w:pStyle w:val="ListParagraph"/>
        <w:spacing w:after="0" w:line="240" w:lineRule="auto"/>
        <w:ind w:left="0"/>
        <w:jc w:val="center"/>
        <w:rPr>
          <w:rFonts w:ascii="Century Gothic" w:hAnsi="Century Gothic"/>
        </w:rPr>
      </w:pPr>
      <w:proofErr w:type="spellStart"/>
      <w:r w:rsidRPr="007C6E63">
        <w:rPr>
          <w:rFonts w:ascii="Century Gothic" w:hAnsi="Century Gothic"/>
        </w:rPr>
        <w:t>Tuguegarao</w:t>
      </w:r>
      <w:proofErr w:type="spellEnd"/>
      <w:r w:rsidRPr="007C6E63">
        <w:rPr>
          <w:rFonts w:ascii="Century Gothic" w:hAnsi="Century Gothic"/>
        </w:rPr>
        <w:t xml:space="preserve"> City Cagayan Philippines</w:t>
      </w:r>
    </w:p>
    <w:p w:rsidR="00857C7B" w:rsidRPr="007C6E63" w:rsidRDefault="00857C7B" w:rsidP="00857C7B">
      <w:pPr>
        <w:pStyle w:val="ListParagraph"/>
        <w:spacing w:after="0" w:line="240" w:lineRule="auto"/>
        <w:ind w:left="567"/>
        <w:contextualSpacing w:val="0"/>
        <w:jc w:val="both"/>
        <w:rPr>
          <w:rFonts w:ascii="Century Gothic" w:hAnsi="Century Gothic"/>
          <w:b/>
        </w:rPr>
      </w:pPr>
    </w:p>
    <w:p w:rsidR="00857C7B" w:rsidRPr="007C6E63" w:rsidRDefault="00857C7B" w:rsidP="00857C7B">
      <w:pPr>
        <w:jc w:val="center"/>
        <w:rPr>
          <w:rFonts w:ascii="Century Gothic" w:hAnsi="Century Gothic"/>
          <w:b/>
        </w:rPr>
      </w:pPr>
      <w:r w:rsidRPr="007C6E63">
        <w:rPr>
          <w:rFonts w:ascii="Century Gothic" w:hAnsi="Century Gothic"/>
          <w:b/>
        </w:rPr>
        <w:t>ABSTRACT</w:t>
      </w:r>
    </w:p>
    <w:p w:rsidR="00857C7B" w:rsidRPr="007C6E63" w:rsidRDefault="00857C7B" w:rsidP="00857C7B">
      <w:pPr>
        <w:shd w:val="clear" w:color="auto" w:fill="FFFFFF"/>
        <w:spacing w:after="0" w:line="360" w:lineRule="auto"/>
        <w:ind w:firstLine="720"/>
        <w:jc w:val="both"/>
        <w:rPr>
          <w:rFonts w:ascii="Century Gothic" w:hAnsi="Century Gothic"/>
        </w:rPr>
      </w:pPr>
      <w:r w:rsidRPr="007C6E63">
        <w:rPr>
          <w:rFonts w:ascii="Century Gothic" w:hAnsi="Century Gothic"/>
        </w:rPr>
        <w:t xml:space="preserve">The study was conducted to determine the feasibility of using banana blossom powder in baking cookies.  The banana blossom </w:t>
      </w:r>
      <w:r>
        <w:rPr>
          <w:rFonts w:ascii="Century Gothic" w:hAnsi="Century Gothic"/>
        </w:rPr>
        <w:t xml:space="preserve">powder </w:t>
      </w:r>
      <w:r w:rsidRPr="007C6E63">
        <w:rPr>
          <w:rFonts w:ascii="Century Gothic" w:hAnsi="Century Gothic"/>
        </w:rPr>
        <w:t>was incorporated at the levels of 6%, 11.5</w:t>
      </w:r>
      <w:proofErr w:type="gramStart"/>
      <w:r w:rsidRPr="007C6E63">
        <w:rPr>
          <w:rFonts w:ascii="Century Gothic" w:hAnsi="Century Gothic"/>
        </w:rPr>
        <w:t>%  and</w:t>
      </w:r>
      <w:proofErr w:type="gramEnd"/>
      <w:r w:rsidRPr="007C6E63">
        <w:rPr>
          <w:rFonts w:ascii="Century Gothic" w:hAnsi="Century Gothic"/>
        </w:rPr>
        <w:t xml:space="preserve"> 16 to the formula.  The three formulas were subjected to organoleptic evaluation. All the cookies were found acceptable on the 9-point hedonic scale in terms of </w:t>
      </w:r>
      <w:r w:rsidRPr="007C6E63">
        <w:rPr>
          <w:rFonts w:ascii="Century Gothic" w:eastAsia="Times New Roman" w:hAnsi="Century Gothic" w:cs="Arial"/>
          <w:color w:val="2D2D2D"/>
        </w:rPr>
        <w:t xml:space="preserve">taste, aroma, texture and general acceptability.  Formula 2 </w:t>
      </w:r>
      <w:r w:rsidRPr="007C6E63">
        <w:rPr>
          <w:rFonts w:ascii="Century Gothic" w:hAnsi="Century Gothic"/>
        </w:rPr>
        <w:t>was most preferred by the sensory panel with overall acceptability score of 7.8.</w:t>
      </w:r>
      <w:r w:rsidRPr="007C6E63">
        <w:rPr>
          <w:rFonts w:ascii="Century Gothic" w:eastAsia="Times New Roman" w:hAnsi="Century Gothic" w:cs="Arial"/>
          <w:color w:val="2D2D2D"/>
        </w:rPr>
        <w:t xml:space="preserve"> </w:t>
      </w:r>
      <w:r w:rsidRPr="007C6E63">
        <w:rPr>
          <w:rFonts w:ascii="Century Gothic" w:hAnsi="Century Gothic"/>
        </w:rPr>
        <w:t>Only the most preferred cookie was assessed for its proximate composition and nutritional adequacy. The ash, crude fat, crude protein,  total carbohydrates, moisture, sodium and total calories of cookies prepared with 11.5% incorporation was found to contain 1.93%, 28.32%, 9.84%, 45.59 %, 14.34%, 313.18 mg/100 g, 476.61 kcal/100g, respectively. A serving of the cookie was found “less than adequate” in all the nutrients of interest for age groups 30-49 and 10-12 years old. The cookie is recommended for people who are overweight and or obese.  Studies on its mineral and vitamin profile and shelf life are highly recommended.</w:t>
      </w:r>
    </w:p>
    <w:p w:rsidR="00857C7B" w:rsidRPr="007C6E63" w:rsidRDefault="00857C7B" w:rsidP="00857C7B">
      <w:pPr>
        <w:shd w:val="clear" w:color="auto" w:fill="FFFFFF"/>
        <w:spacing w:after="0" w:line="360" w:lineRule="auto"/>
        <w:jc w:val="both"/>
        <w:rPr>
          <w:rFonts w:ascii="Century Gothic" w:hAnsi="Century Gothic"/>
          <w:b/>
        </w:rPr>
      </w:pPr>
    </w:p>
    <w:p w:rsidR="00857C7B" w:rsidRPr="007C6E63" w:rsidRDefault="00857C7B" w:rsidP="00857C7B">
      <w:pPr>
        <w:shd w:val="clear" w:color="auto" w:fill="FFFFFF"/>
        <w:spacing w:after="0" w:line="360" w:lineRule="auto"/>
        <w:jc w:val="both"/>
        <w:rPr>
          <w:rFonts w:ascii="Century Gothic" w:hAnsi="Century Gothic"/>
        </w:rPr>
      </w:pPr>
      <w:r w:rsidRPr="007C6E63">
        <w:rPr>
          <w:rFonts w:ascii="Century Gothic" w:hAnsi="Century Gothic"/>
          <w:b/>
        </w:rPr>
        <w:t>Key words</w:t>
      </w:r>
      <w:r w:rsidRPr="007C6E63">
        <w:rPr>
          <w:rFonts w:ascii="Century Gothic" w:hAnsi="Century Gothic"/>
        </w:rPr>
        <w:t>: Banana Blossom Cookies, Formulation, Nutritional Adequacy</w:t>
      </w:r>
    </w:p>
    <w:p w:rsidR="00857C7B" w:rsidRPr="007C6E63" w:rsidRDefault="00857C7B" w:rsidP="00857C7B">
      <w:pPr>
        <w:shd w:val="clear" w:color="auto" w:fill="FFFFFF"/>
        <w:spacing w:after="0" w:line="360" w:lineRule="auto"/>
        <w:jc w:val="both"/>
        <w:rPr>
          <w:rFonts w:ascii="Century Gothic" w:hAnsi="Century Gothic"/>
        </w:rPr>
      </w:pPr>
    </w:p>
    <w:p w:rsidR="00731C74" w:rsidRDefault="00731C74">
      <w:bookmarkStart w:id="0" w:name="_GoBack"/>
      <w:bookmarkEnd w:id="0"/>
    </w:p>
    <w:sectPr w:rsidR="00731C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C7B"/>
    <w:rsid w:val="00731C74"/>
    <w:rsid w:val="00857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C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C7B"/>
    <w:pPr>
      <w:ind w:left="720"/>
      <w:contextualSpacing/>
    </w:pPr>
    <w:rPr>
      <w:rFonts w:eastAsia="SimSu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C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C7B"/>
    <w:pPr>
      <w:ind w:left="720"/>
      <w:contextualSpacing/>
    </w:pPr>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2019-11-04T20:49:00Z</dcterms:created>
  <dcterms:modified xsi:type="dcterms:W3CDTF">2019-11-04T20:49:00Z</dcterms:modified>
</cp:coreProperties>
</file>