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7CD62" w14:textId="77777777" w:rsidR="00BF585E" w:rsidRPr="00260E18" w:rsidRDefault="00BF585E" w:rsidP="00C87B05">
      <w:pPr>
        <w:rPr>
          <w:rFonts w:ascii="Arial" w:hAnsi="Arial" w:cs="Arial"/>
          <w:sz w:val="20"/>
          <w:szCs w:val="20"/>
        </w:rPr>
      </w:pPr>
    </w:p>
    <w:p w14:paraId="2A5CEA96" w14:textId="5DCFAB00" w:rsidR="005D6D9E" w:rsidRDefault="0074057F" w:rsidP="00BF585E">
      <w:pPr>
        <w:jc w:val="center"/>
        <w:rPr>
          <w:rFonts w:ascii="Arial" w:hAnsi="Arial" w:cs="Arial"/>
          <w:b/>
          <w:sz w:val="20"/>
          <w:szCs w:val="20"/>
        </w:rPr>
      </w:pPr>
      <w:r w:rsidRPr="00260E18">
        <w:rPr>
          <w:rFonts w:ascii="Arial" w:hAnsi="Arial" w:cs="Arial"/>
          <w:b/>
          <w:sz w:val="20"/>
          <w:szCs w:val="20"/>
        </w:rPr>
        <w:t xml:space="preserve">DEVELOPMENT AND EVALUATION OF A CALCIUM RICH PLANT BASED SUPPLEMENT ON BONE TURNOVER OF PERI AND POST MENOPAUSAL WOMEN </w:t>
      </w:r>
    </w:p>
    <w:p w14:paraId="2FE4F5C3" w14:textId="77777777" w:rsidR="00C87B05" w:rsidRPr="00260E18" w:rsidRDefault="00C87B05" w:rsidP="00BF585E">
      <w:pPr>
        <w:jc w:val="center"/>
        <w:rPr>
          <w:rFonts w:ascii="Arial" w:hAnsi="Arial" w:cs="Arial"/>
          <w:b/>
          <w:sz w:val="20"/>
          <w:szCs w:val="20"/>
        </w:rPr>
      </w:pPr>
    </w:p>
    <w:p w14:paraId="6F1A2918" w14:textId="77777777" w:rsidR="00BF585E" w:rsidRPr="00260E18" w:rsidRDefault="00BF585E" w:rsidP="00BF585E">
      <w:pPr>
        <w:jc w:val="center"/>
        <w:rPr>
          <w:rFonts w:ascii="Arial" w:hAnsi="Arial" w:cs="Arial"/>
          <w:b/>
          <w:sz w:val="20"/>
          <w:szCs w:val="20"/>
        </w:rPr>
      </w:pPr>
    </w:p>
    <w:p w14:paraId="5CEF162C" w14:textId="1ECC41E0" w:rsidR="00C53B37" w:rsidRDefault="00C53B37" w:rsidP="00C53B37">
      <w:pPr>
        <w:spacing w:line="360" w:lineRule="auto"/>
        <w:jc w:val="center"/>
        <w:rPr>
          <w:rFonts w:ascii="Arial" w:hAnsi="Arial" w:cs="Arial"/>
          <w:b/>
          <w:sz w:val="20"/>
          <w:szCs w:val="20"/>
          <w:vertAlign w:val="superscript"/>
        </w:rPr>
      </w:pPr>
      <w:r w:rsidRPr="00C53B37">
        <w:rPr>
          <w:rFonts w:ascii="Arial" w:hAnsi="Arial" w:cs="Arial"/>
          <w:b/>
          <w:sz w:val="20"/>
          <w:szCs w:val="20"/>
        </w:rPr>
        <w:t>Gayathri.G</w:t>
      </w:r>
      <w:r w:rsidRPr="00C53B37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C53B37">
        <w:rPr>
          <w:rFonts w:ascii="Arial" w:hAnsi="Arial" w:cs="Arial"/>
          <w:b/>
          <w:sz w:val="20"/>
          <w:szCs w:val="20"/>
        </w:rPr>
        <w:t>, Hemamalini.A.J</w:t>
      </w:r>
      <w:r w:rsidRPr="00C53B37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C53B37">
        <w:rPr>
          <w:rFonts w:ascii="Arial" w:hAnsi="Arial" w:cs="Arial"/>
          <w:b/>
          <w:sz w:val="20"/>
          <w:szCs w:val="20"/>
        </w:rPr>
        <w:t>, Chandrasekaran.A</w:t>
      </w:r>
      <w:r w:rsidRPr="00C53B37">
        <w:rPr>
          <w:rFonts w:ascii="Arial" w:hAnsi="Arial" w:cs="Arial"/>
          <w:b/>
          <w:sz w:val="20"/>
          <w:szCs w:val="20"/>
          <w:vertAlign w:val="superscript"/>
        </w:rPr>
        <w:t>3</w:t>
      </w:r>
    </w:p>
    <w:p w14:paraId="7DB4FE19" w14:textId="77777777" w:rsidR="00C87B05" w:rsidRPr="00C53B37" w:rsidRDefault="00C87B05" w:rsidP="00C53B37">
      <w:pPr>
        <w:spacing w:line="360" w:lineRule="auto"/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17"/>
        <w:gridCol w:w="7489"/>
      </w:tblGrid>
      <w:tr w:rsidR="00C53B37" w:rsidRPr="00C53B37" w14:paraId="306B37CC" w14:textId="77777777" w:rsidTr="00D76C43">
        <w:tc>
          <w:tcPr>
            <w:tcW w:w="425" w:type="dxa"/>
            <w:shd w:val="clear" w:color="auto" w:fill="auto"/>
          </w:tcPr>
          <w:p w14:paraId="5B3275D1" w14:textId="77777777" w:rsidR="00C53B37" w:rsidRPr="00C53B37" w:rsidRDefault="00C53B37" w:rsidP="00D76C43">
            <w:pPr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41" w:type="dxa"/>
            <w:shd w:val="clear" w:color="auto" w:fill="auto"/>
          </w:tcPr>
          <w:p w14:paraId="39DEB8FB" w14:textId="3FF83F97" w:rsidR="00C53B37" w:rsidRPr="00C53B37" w:rsidRDefault="00C53B37" w:rsidP="00D76C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 xml:space="preserve">Senior Lecturer, Department of Clinical Nutrition, Sri Ramachandra Institute of Higher Education And Research (Deemed to be University), E </w:t>
            </w:r>
            <w:r w:rsidR="004309D1" w:rsidRPr="00C53B37">
              <w:rPr>
                <w:rFonts w:ascii="Arial" w:hAnsi="Arial" w:cs="Arial"/>
                <w:sz w:val="20"/>
                <w:szCs w:val="20"/>
              </w:rPr>
              <w:t>mail:</w:t>
            </w:r>
            <w:r w:rsidRPr="00C53B37">
              <w:rPr>
                <w:rFonts w:ascii="Arial" w:hAnsi="Arial" w:cs="Arial"/>
                <w:sz w:val="20"/>
                <w:szCs w:val="20"/>
              </w:rPr>
              <w:t xml:space="preserve"> gayathri.g@sriramachandra.edu.in</w:t>
            </w:r>
          </w:p>
        </w:tc>
      </w:tr>
      <w:tr w:rsidR="00C53B37" w:rsidRPr="00C53B37" w14:paraId="098B57DD" w14:textId="77777777" w:rsidTr="00D76C43">
        <w:tc>
          <w:tcPr>
            <w:tcW w:w="425" w:type="dxa"/>
            <w:shd w:val="clear" w:color="auto" w:fill="auto"/>
          </w:tcPr>
          <w:p w14:paraId="1C4852F2" w14:textId="77777777" w:rsidR="00C53B37" w:rsidRPr="00C53B37" w:rsidRDefault="00C53B37" w:rsidP="00D76C43">
            <w:pPr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41" w:type="dxa"/>
            <w:shd w:val="clear" w:color="auto" w:fill="auto"/>
          </w:tcPr>
          <w:p w14:paraId="1DA2CC7B" w14:textId="77777777" w:rsidR="00C53B37" w:rsidRPr="00C53B37" w:rsidRDefault="00C53B37" w:rsidP="00D76C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 xml:space="preserve">Professor, Department of Clinical Nutrition, Sri Ramachandra Institute of Higher Education And Research (Deemed to be University) </w:t>
            </w:r>
          </w:p>
        </w:tc>
      </w:tr>
      <w:tr w:rsidR="00C53B37" w:rsidRPr="00C53B37" w14:paraId="617FEFF3" w14:textId="77777777" w:rsidTr="00D76C43">
        <w:tc>
          <w:tcPr>
            <w:tcW w:w="425" w:type="dxa"/>
            <w:shd w:val="clear" w:color="auto" w:fill="auto"/>
          </w:tcPr>
          <w:p w14:paraId="41B67035" w14:textId="77777777" w:rsidR="00C53B37" w:rsidRPr="00C53B37" w:rsidRDefault="00C53B37" w:rsidP="00D76C43">
            <w:pPr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41" w:type="dxa"/>
            <w:shd w:val="clear" w:color="auto" w:fill="auto"/>
          </w:tcPr>
          <w:p w14:paraId="0EFB8091" w14:textId="77777777" w:rsidR="00C53B37" w:rsidRPr="00C53B37" w:rsidRDefault="00C53B37" w:rsidP="00D76C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3B37">
              <w:rPr>
                <w:rFonts w:ascii="Arial" w:hAnsi="Arial" w:cs="Arial"/>
                <w:sz w:val="20"/>
                <w:szCs w:val="20"/>
              </w:rPr>
              <w:t xml:space="preserve">Consultant </w:t>
            </w:r>
            <w:proofErr w:type="spellStart"/>
            <w:r w:rsidRPr="00C53B37">
              <w:rPr>
                <w:rFonts w:ascii="Arial" w:hAnsi="Arial" w:cs="Arial"/>
                <w:sz w:val="20"/>
                <w:szCs w:val="20"/>
              </w:rPr>
              <w:t>Orthopaedic</w:t>
            </w:r>
            <w:proofErr w:type="spellEnd"/>
            <w:r w:rsidRPr="00C53B37">
              <w:rPr>
                <w:rFonts w:ascii="Arial" w:hAnsi="Arial" w:cs="Arial"/>
                <w:sz w:val="20"/>
                <w:szCs w:val="20"/>
              </w:rPr>
              <w:t xml:space="preserve"> Surgeon, Chennai and Former Professor of Orthopedics, Sri Ramachandra Institute of Higher Education And Research (Deemed to be University) </w:t>
            </w:r>
          </w:p>
        </w:tc>
      </w:tr>
    </w:tbl>
    <w:p w14:paraId="04251CBD" w14:textId="77777777" w:rsidR="00C53B37" w:rsidRDefault="00C53B37" w:rsidP="00BF585E">
      <w:pPr>
        <w:jc w:val="both"/>
        <w:rPr>
          <w:rFonts w:ascii="Arial" w:hAnsi="Arial" w:cs="Arial"/>
          <w:b/>
          <w:sz w:val="20"/>
          <w:szCs w:val="20"/>
        </w:rPr>
      </w:pPr>
    </w:p>
    <w:p w14:paraId="043CB944" w14:textId="483D58CA" w:rsidR="00EF32B5" w:rsidRPr="00260E18" w:rsidRDefault="00260E18" w:rsidP="00BF585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Problem statement</w:t>
      </w:r>
      <w:r w:rsidR="00EF32B5" w:rsidRPr="00260E18">
        <w:rPr>
          <w:rFonts w:ascii="Arial" w:hAnsi="Arial" w:cs="Arial"/>
          <w:b/>
          <w:sz w:val="20"/>
          <w:szCs w:val="20"/>
        </w:rPr>
        <w:t xml:space="preserve">: </w:t>
      </w:r>
      <w:r w:rsidR="00EF32B5" w:rsidRPr="00260E18">
        <w:rPr>
          <w:rFonts w:ascii="Arial" w:hAnsi="Arial" w:cs="Arial"/>
          <w:sz w:val="20"/>
          <w:szCs w:val="20"/>
        </w:rPr>
        <w:t xml:space="preserve">Nutritional deficiency, particularly of calcium </w:t>
      </w:r>
      <w:r w:rsidR="00BC5677">
        <w:rPr>
          <w:rFonts w:ascii="Arial" w:hAnsi="Arial" w:cs="Arial"/>
          <w:sz w:val="20"/>
          <w:szCs w:val="20"/>
        </w:rPr>
        <w:t xml:space="preserve">can result in poor mineralization of </w:t>
      </w:r>
      <w:r w:rsidR="00EF32B5" w:rsidRPr="00260E18">
        <w:rPr>
          <w:rFonts w:ascii="Arial" w:hAnsi="Arial" w:cs="Arial"/>
          <w:sz w:val="20"/>
          <w:szCs w:val="20"/>
        </w:rPr>
        <w:t xml:space="preserve">bones. Less optimal intake of calcium by both male and female subjects have been reported </w:t>
      </w:r>
      <w:r w:rsidR="00BC5677">
        <w:rPr>
          <w:rFonts w:ascii="Arial" w:hAnsi="Arial" w:cs="Arial"/>
          <w:sz w:val="20"/>
          <w:szCs w:val="20"/>
          <w:u w:color="262626"/>
        </w:rPr>
        <w:t>with a</w:t>
      </w:r>
      <w:r w:rsidR="00BC5677">
        <w:rPr>
          <w:rFonts w:ascii="Arial" w:hAnsi="Arial" w:cs="Arial"/>
          <w:sz w:val="20"/>
          <w:szCs w:val="20"/>
        </w:rPr>
        <w:t xml:space="preserve"> major contribution </w:t>
      </w:r>
      <w:r w:rsidR="00EF32B5" w:rsidRPr="00260E18">
        <w:rPr>
          <w:rFonts w:ascii="Arial" w:hAnsi="Arial" w:cs="Arial"/>
          <w:sz w:val="20"/>
          <w:szCs w:val="20"/>
        </w:rPr>
        <w:t xml:space="preserve">from milk and its products. Though plenty of synthetic calcium supplements are available, it is important that a calcium rich food supplement that could be easily prepared at household level be made available to combat calcium deficiency. </w:t>
      </w:r>
      <w:r w:rsidR="001124A4">
        <w:rPr>
          <w:rFonts w:ascii="Arial" w:hAnsi="Arial" w:cs="Arial"/>
          <w:sz w:val="20"/>
          <w:szCs w:val="20"/>
        </w:rPr>
        <w:t>Thus the</w:t>
      </w:r>
      <w:r>
        <w:rPr>
          <w:rFonts w:ascii="Arial" w:hAnsi="Arial" w:cs="Arial"/>
          <w:sz w:val="20"/>
          <w:szCs w:val="20"/>
        </w:rPr>
        <w:t xml:space="preserve"> study aimed </w:t>
      </w:r>
      <w:r w:rsidR="008000AC" w:rsidRPr="00260E18">
        <w:rPr>
          <w:rFonts w:ascii="Arial" w:hAnsi="Arial" w:cs="Arial"/>
          <w:sz w:val="20"/>
          <w:szCs w:val="20"/>
          <w:u w:color="262626"/>
        </w:rPr>
        <w:t>t</w:t>
      </w:r>
      <w:r w:rsidR="00EF32B5" w:rsidRPr="00260E18">
        <w:rPr>
          <w:rFonts w:ascii="Arial" w:hAnsi="Arial" w:cs="Arial"/>
          <w:sz w:val="20"/>
          <w:szCs w:val="20"/>
          <w:u w:color="262626"/>
        </w:rPr>
        <w:t>o formulate and sta</w:t>
      </w:r>
      <w:r w:rsidR="001124A4">
        <w:rPr>
          <w:rFonts w:ascii="Arial" w:hAnsi="Arial" w:cs="Arial"/>
          <w:sz w:val="20"/>
          <w:szCs w:val="20"/>
          <w:u w:color="262626"/>
        </w:rPr>
        <w:t xml:space="preserve">ndardize an indigenous </w:t>
      </w:r>
      <w:r w:rsidR="00A316CD" w:rsidRPr="00260E18">
        <w:rPr>
          <w:rFonts w:ascii="Arial" w:hAnsi="Arial" w:cs="Arial"/>
          <w:sz w:val="20"/>
          <w:szCs w:val="20"/>
          <w:u w:color="262626"/>
        </w:rPr>
        <w:t xml:space="preserve">calcium rich </w:t>
      </w:r>
      <w:r w:rsidR="001124A4">
        <w:rPr>
          <w:rFonts w:ascii="Arial" w:hAnsi="Arial" w:cs="Arial"/>
          <w:sz w:val="20"/>
          <w:szCs w:val="20"/>
          <w:u w:color="262626"/>
        </w:rPr>
        <w:t>food supplement and to study its</w:t>
      </w:r>
      <w:r w:rsidR="00A316CD" w:rsidRPr="00260E18">
        <w:rPr>
          <w:rFonts w:ascii="Arial" w:hAnsi="Arial" w:cs="Arial"/>
          <w:sz w:val="20"/>
          <w:szCs w:val="20"/>
          <w:u w:color="262626"/>
        </w:rPr>
        <w:t xml:space="preserve"> impact </w:t>
      </w:r>
      <w:r w:rsidR="001124A4">
        <w:rPr>
          <w:rFonts w:ascii="Arial" w:hAnsi="Arial" w:cs="Arial"/>
          <w:sz w:val="20"/>
          <w:szCs w:val="20"/>
          <w:u w:color="262626"/>
        </w:rPr>
        <w:t xml:space="preserve">on </w:t>
      </w:r>
      <w:r w:rsidR="00A316CD" w:rsidRPr="00260E18">
        <w:rPr>
          <w:rFonts w:ascii="Arial" w:hAnsi="Arial" w:cs="Arial"/>
          <w:sz w:val="20"/>
          <w:szCs w:val="20"/>
          <w:u w:color="262626"/>
        </w:rPr>
        <w:t xml:space="preserve">the bone resorption and </w:t>
      </w:r>
      <w:r w:rsidR="0038726C" w:rsidRPr="00260E18">
        <w:rPr>
          <w:rFonts w:ascii="Arial" w:hAnsi="Arial" w:cs="Arial"/>
          <w:sz w:val="20"/>
          <w:szCs w:val="20"/>
          <w:u w:color="262626"/>
        </w:rPr>
        <w:t>formation</w:t>
      </w:r>
      <w:r w:rsidR="00A316CD" w:rsidRPr="00260E18">
        <w:rPr>
          <w:rFonts w:ascii="Arial" w:hAnsi="Arial" w:cs="Arial"/>
          <w:sz w:val="20"/>
          <w:szCs w:val="20"/>
          <w:u w:color="262626"/>
        </w:rPr>
        <w:t xml:space="preserve"> </w:t>
      </w:r>
      <w:r w:rsidR="005A571E" w:rsidRPr="00260E18">
        <w:rPr>
          <w:rFonts w:ascii="Arial" w:hAnsi="Arial" w:cs="Arial"/>
          <w:sz w:val="20"/>
          <w:szCs w:val="20"/>
          <w:u w:color="262626"/>
        </w:rPr>
        <w:t>markers</w:t>
      </w:r>
      <w:r w:rsidR="00A316CD" w:rsidRPr="00260E18">
        <w:rPr>
          <w:rFonts w:ascii="Arial" w:hAnsi="Arial" w:cs="Arial"/>
          <w:sz w:val="20"/>
          <w:szCs w:val="20"/>
          <w:u w:color="262626"/>
        </w:rPr>
        <w:t xml:space="preserve">. </w:t>
      </w:r>
      <w:r w:rsidR="00EF32B5" w:rsidRPr="00260E18">
        <w:rPr>
          <w:rFonts w:ascii="Arial" w:hAnsi="Arial" w:cs="Arial"/>
          <w:b/>
          <w:sz w:val="20"/>
          <w:szCs w:val="20"/>
          <w:u w:color="262626"/>
        </w:rPr>
        <w:t>Methods:</w:t>
      </w:r>
      <w:r w:rsidR="00EF32B5" w:rsidRPr="00260E18">
        <w:rPr>
          <w:rFonts w:ascii="Arial" w:hAnsi="Arial" w:cs="Arial"/>
          <w:sz w:val="20"/>
          <w:szCs w:val="20"/>
          <w:u w:color="262626"/>
        </w:rPr>
        <w:t xml:space="preserve"> </w:t>
      </w:r>
      <w:r w:rsidR="007D2D65" w:rsidRPr="00260E18">
        <w:rPr>
          <w:rFonts w:ascii="Arial" w:hAnsi="Arial" w:cs="Arial"/>
          <w:sz w:val="20"/>
          <w:szCs w:val="20"/>
        </w:rPr>
        <w:t xml:space="preserve">A Randomized controlled trial was conducted </w:t>
      </w:r>
      <w:r w:rsidR="0068558D" w:rsidRPr="00260E18">
        <w:rPr>
          <w:rFonts w:ascii="Arial" w:hAnsi="Arial" w:cs="Arial"/>
          <w:sz w:val="20"/>
          <w:szCs w:val="20"/>
        </w:rPr>
        <w:t xml:space="preserve">with 60 subjects distributed equally in control and experimental groups </w:t>
      </w:r>
      <w:r w:rsidR="009D7C10" w:rsidRPr="00260E18">
        <w:rPr>
          <w:rFonts w:ascii="Arial" w:hAnsi="Arial" w:cs="Arial"/>
          <w:sz w:val="20"/>
          <w:szCs w:val="20"/>
        </w:rPr>
        <w:t>including perimenopausal and postmenopausal women</w:t>
      </w:r>
      <w:r w:rsidR="0073488B" w:rsidRPr="00260E18">
        <w:rPr>
          <w:rFonts w:ascii="Arial" w:hAnsi="Arial" w:cs="Arial"/>
          <w:sz w:val="20"/>
          <w:szCs w:val="20"/>
        </w:rPr>
        <w:t xml:space="preserve">. A plant based </w:t>
      </w:r>
      <w:r w:rsidR="0073488B" w:rsidRPr="00260E18">
        <w:rPr>
          <w:rFonts w:ascii="Arial" w:hAnsi="Arial" w:cs="Arial"/>
          <w:sz w:val="20"/>
          <w:szCs w:val="20"/>
          <w:u w:color="262626"/>
        </w:rPr>
        <w:t xml:space="preserve">calcium rich </w:t>
      </w:r>
      <w:r w:rsidR="00316BA9" w:rsidRPr="00260E18">
        <w:rPr>
          <w:rFonts w:ascii="Arial" w:hAnsi="Arial" w:cs="Arial"/>
          <w:sz w:val="20"/>
          <w:szCs w:val="20"/>
          <w:u w:color="262626"/>
        </w:rPr>
        <w:t>product</w:t>
      </w:r>
      <w:r w:rsidR="0073488B" w:rsidRPr="00260E18">
        <w:rPr>
          <w:rFonts w:ascii="Arial" w:hAnsi="Arial" w:cs="Arial"/>
          <w:sz w:val="20"/>
          <w:szCs w:val="20"/>
          <w:u w:color="262626"/>
        </w:rPr>
        <w:t xml:space="preserve"> was developed and supplemented in form of balls </w:t>
      </w:r>
      <w:r w:rsidR="00316BA9" w:rsidRPr="00260E18">
        <w:rPr>
          <w:rFonts w:ascii="Arial" w:hAnsi="Arial" w:cs="Arial"/>
          <w:sz w:val="20"/>
          <w:szCs w:val="20"/>
        </w:rPr>
        <w:t>as a midmorning and evening snack</w:t>
      </w:r>
      <w:r w:rsidR="00316BA9" w:rsidRPr="00260E18">
        <w:rPr>
          <w:rFonts w:ascii="Arial" w:hAnsi="Arial" w:cs="Arial"/>
          <w:sz w:val="20"/>
          <w:szCs w:val="20"/>
          <w:u w:color="262626"/>
        </w:rPr>
        <w:t xml:space="preserve"> </w:t>
      </w:r>
      <w:r w:rsidR="0073488B" w:rsidRPr="00260E18">
        <w:rPr>
          <w:rFonts w:ascii="Arial" w:hAnsi="Arial" w:cs="Arial"/>
          <w:sz w:val="20"/>
          <w:szCs w:val="20"/>
          <w:u w:color="262626"/>
        </w:rPr>
        <w:t>by addition of optimized proportions</w:t>
      </w:r>
      <w:r w:rsidR="0073488B" w:rsidRPr="00260E1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Sesamum</w:t>
      </w:r>
      <w:proofErr w:type="spellEnd"/>
      <w:r w:rsidR="0051001F" w:rsidRPr="00260E1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indicum</w:t>
      </w:r>
      <w:proofErr w:type="spellEnd"/>
      <w:r w:rsidR="0051001F" w:rsidRPr="00260E18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Eleusine</w:t>
      </w:r>
      <w:proofErr w:type="spellEnd"/>
      <w:r w:rsidR="0051001F" w:rsidRPr="00260E1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coracana</w:t>
      </w:r>
      <w:proofErr w:type="spellEnd"/>
      <w:r w:rsidR="0051001F" w:rsidRPr="00260E18">
        <w:rPr>
          <w:rFonts w:ascii="Arial" w:hAnsi="Arial" w:cs="Arial"/>
          <w:sz w:val="20"/>
          <w:szCs w:val="20"/>
        </w:rPr>
        <w:t xml:space="preserve">, </w:t>
      </w:r>
      <w:r w:rsidR="0051001F" w:rsidRPr="00260E18">
        <w:rPr>
          <w:rFonts w:ascii="Arial" w:hAnsi="Arial" w:cs="Arial"/>
          <w:i/>
          <w:iCs/>
          <w:color w:val="1C1C1C"/>
          <w:sz w:val="20"/>
          <w:szCs w:val="20"/>
        </w:rPr>
        <w:t>Glycine max</w:t>
      </w:r>
      <w:r w:rsidR="0051001F" w:rsidRPr="00260E1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Vigna</w:t>
      </w:r>
      <w:proofErr w:type="spellEnd"/>
      <w:r w:rsidR="0051001F" w:rsidRPr="00260E1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1001F" w:rsidRPr="00260E18">
        <w:rPr>
          <w:rFonts w:ascii="Arial" w:hAnsi="Arial" w:cs="Arial"/>
          <w:i/>
          <w:sz w:val="20"/>
          <w:szCs w:val="20"/>
        </w:rPr>
        <w:t>mungo</w:t>
      </w:r>
      <w:proofErr w:type="spellEnd"/>
      <w:r w:rsidR="0051001F" w:rsidRPr="00260E18">
        <w:rPr>
          <w:rFonts w:ascii="Arial" w:hAnsi="Arial" w:cs="Arial"/>
          <w:sz w:val="20"/>
          <w:szCs w:val="20"/>
        </w:rPr>
        <w:t xml:space="preserve"> </w:t>
      </w:r>
      <w:r w:rsidR="0051001F">
        <w:rPr>
          <w:rFonts w:ascii="Arial" w:hAnsi="Arial" w:cs="Arial"/>
          <w:sz w:val="20"/>
          <w:szCs w:val="20"/>
        </w:rPr>
        <w:t xml:space="preserve">and </w:t>
      </w:r>
      <w:r w:rsidR="0073488B" w:rsidRPr="00260E18">
        <w:rPr>
          <w:rFonts w:ascii="Arial" w:hAnsi="Arial" w:cs="Arial"/>
          <w:sz w:val="20"/>
          <w:szCs w:val="20"/>
        </w:rPr>
        <w:t xml:space="preserve">leaves of </w:t>
      </w:r>
      <w:proofErr w:type="spellStart"/>
      <w:r w:rsidR="0051001F">
        <w:rPr>
          <w:rFonts w:ascii="Arial" w:hAnsi="Arial" w:cs="Arial"/>
          <w:i/>
          <w:sz w:val="20"/>
          <w:szCs w:val="20"/>
        </w:rPr>
        <w:t>Sesbania</w:t>
      </w:r>
      <w:proofErr w:type="spellEnd"/>
      <w:r w:rsidR="0051001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1001F">
        <w:rPr>
          <w:rFonts w:ascii="Arial" w:hAnsi="Arial" w:cs="Arial"/>
          <w:i/>
          <w:sz w:val="20"/>
          <w:szCs w:val="20"/>
        </w:rPr>
        <w:t>Grandiflora</w:t>
      </w:r>
      <w:proofErr w:type="spellEnd"/>
      <w:r w:rsidR="0034637A">
        <w:rPr>
          <w:rFonts w:ascii="Arial" w:hAnsi="Arial" w:cs="Arial"/>
          <w:sz w:val="20"/>
          <w:szCs w:val="20"/>
        </w:rPr>
        <w:t xml:space="preserve"> </w:t>
      </w:r>
      <w:r w:rsidR="006A0346" w:rsidRPr="00260E18">
        <w:rPr>
          <w:rFonts w:ascii="Arial" w:hAnsi="Arial" w:cs="Arial"/>
          <w:sz w:val="20"/>
          <w:szCs w:val="20"/>
        </w:rPr>
        <w:t xml:space="preserve">for </w:t>
      </w:r>
      <w:r w:rsidR="0073488B" w:rsidRPr="00260E18">
        <w:rPr>
          <w:rFonts w:ascii="Arial" w:hAnsi="Arial" w:cs="Arial"/>
          <w:sz w:val="20"/>
          <w:szCs w:val="20"/>
        </w:rPr>
        <w:t xml:space="preserve">a period of </w:t>
      </w:r>
      <w:r w:rsidR="006A0346" w:rsidRPr="00260E18">
        <w:rPr>
          <w:rFonts w:ascii="Arial" w:hAnsi="Arial" w:cs="Arial"/>
          <w:sz w:val="20"/>
          <w:szCs w:val="20"/>
        </w:rPr>
        <w:t>6 months.</w:t>
      </w:r>
      <w:r w:rsidR="000A0B0D" w:rsidRPr="00260E18">
        <w:rPr>
          <w:rFonts w:ascii="Arial" w:hAnsi="Arial" w:cs="Arial"/>
          <w:sz w:val="20"/>
          <w:szCs w:val="20"/>
        </w:rPr>
        <w:t xml:space="preserve"> </w:t>
      </w:r>
      <w:r w:rsidR="0073488B" w:rsidRPr="00260E18">
        <w:rPr>
          <w:rFonts w:ascii="Arial" w:hAnsi="Arial" w:cs="Arial"/>
          <w:sz w:val="20"/>
          <w:szCs w:val="20"/>
        </w:rPr>
        <w:t>Postmenopausal and perimenopausal women received 1200mg and 800mg</w:t>
      </w:r>
      <w:r w:rsidR="00A35C67" w:rsidRPr="00260E18">
        <w:rPr>
          <w:rFonts w:ascii="Arial" w:hAnsi="Arial" w:cs="Arial"/>
          <w:sz w:val="20"/>
          <w:szCs w:val="20"/>
        </w:rPr>
        <w:t xml:space="preserve"> </w:t>
      </w:r>
      <w:r w:rsidR="000A0B0D" w:rsidRPr="00260E18">
        <w:rPr>
          <w:rFonts w:ascii="Arial" w:hAnsi="Arial" w:cs="Arial"/>
          <w:sz w:val="20"/>
          <w:szCs w:val="20"/>
        </w:rPr>
        <w:t>of calcium</w:t>
      </w:r>
      <w:r w:rsidR="0073488B" w:rsidRPr="00260E18">
        <w:rPr>
          <w:rFonts w:ascii="Arial" w:hAnsi="Arial" w:cs="Arial"/>
          <w:sz w:val="20"/>
          <w:szCs w:val="20"/>
        </w:rPr>
        <w:t xml:space="preserve"> per </w:t>
      </w:r>
      <w:r w:rsidR="00316BA9" w:rsidRPr="00260E18">
        <w:rPr>
          <w:rFonts w:ascii="Arial" w:hAnsi="Arial" w:cs="Arial"/>
          <w:sz w:val="20"/>
          <w:szCs w:val="20"/>
        </w:rPr>
        <w:t>day from the</w:t>
      </w:r>
      <w:r w:rsidR="00A35C67" w:rsidRPr="00260E18">
        <w:rPr>
          <w:rFonts w:ascii="Arial" w:hAnsi="Arial" w:cs="Arial"/>
          <w:sz w:val="20"/>
          <w:szCs w:val="20"/>
        </w:rPr>
        <w:t xml:space="preserve"> supplemented respectively. </w:t>
      </w:r>
      <w:r w:rsidR="001B33E9">
        <w:rPr>
          <w:rFonts w:ascii="Arial" w:hAnsi="Arial" w:cs="Arial"/>
          <w:sz w:val="20"/>
          <w:szCs w:val="20"/>
        </w:rPr>
        <w:t>S</w:t>
      </w:r>
      <w:r w:rsidR="0076407C" w:rsidRPr="00260E18">
        <w:rPr>
          <w:rFonts w:ascii="Arial" w:hAnsi="Arial" w:cs="Arial"/>
          <w:sz w:val="20"/>
          <w:szCs w:val="20"/>
        </w:rPr>
        <w:t xml:space="preserve">erum </w:t>
      </w:r>
      <w:r w:rsidR="00316BA9" w:rsidRPr="00260E18">
        <w:rPr>
          <w:rFonts w:ascii="Arial" w:hAnsi="Arial" w:cs="Arial"/>
          <w:sz w:val="20"/>
          <w:szCs w:val="20"/>
        </w:rPr>
        <w:t>calcium</w:t>
      </w:r>
      <w:proofErr w:type="gramStart"/>
      <w:r w:rsidR="00316BA9" w:rsidRPr="00260E18">
        <w:rPr>
          <w:rFonts w:ascii="Arial" w:hAnsi="Arial" w:cs="Arial"/>
          <w:sz w:val="20"/>
          <w:szCs w:val="20"/>
        </w:rPr>
        <w:t>;</w:t>
      </w:r>
      <w:proofErr w:type="gramEnd"/>
      <w:r w:rsidR="0076407C" w:rsidRPr="00260E18">
        <w:rPr>
          <w:rFonts w:ascii="Arial" w:hAnsi="Arial" w:cs="Arial"/>
          <w:sz w:val="20"/>
          <w:szCs w:val="20"/>
        </w:rPr>
        <w:t xml:space="preserve"> betacrosslaps (bone resorption marker) and total P1NP (bone absorption marker) were assessed after 3 and 6 months. </w:t>
      </w:r>
      <w:r w:rsidR="00EF32B5" w:rsidRPr="00260E18">
        <w:rPr>
          <w:rFonts w:ascii="Arial" w:hAnsi="Arial" w:cs="Arial"/>
          <w:b/>
          <w:sz w:val="20"/>
          <w:szCs w:val="20"/>
        </w:rPr>
        <w:t>Results:</w:t>
      </w:r>
      <w:r w:rsidR="00EF32B5" w:rsidRPr="00260E18">
        <w:rPr>
          <w:rFonts w:ascii="Arial" w:hAnsi="Arial" w:cs="Arial"/>
          <w:sz w:val="20"/>
          <w:szCs w:val="20"/>
        </w:rPr>
        <w:t xml:space="preserve"> </w:t>
      </w:r>
      <w:r w:rsidR="006723AC" w:rsidRPr="00260E18">
        <w:rPr>
          <w:rFonts w:ascii="Arial" w:hAnsi="Arial" w:cs="Arial"/>
          <w:sz w:val="20"/>
          <w:szCs w:val="20"/>
        </w:rPr>
        <w:t>There were no significant changes seen in the serum calcium and total P1NP levels (bone formation marker) among the subjects during the supplementation period.</w:t>
      </w:r>
      <w:r w:rsidR="002E2A99" w:rsidRPr="00260E18">
        <w:rPr>
          <w:rFonts w:ascii="Arial" w:hAnsi="Arial" w:cs="Arial"/>
          <w:sz w:val="20"/>
          <w:szCs w:val="20"/>
        </w:rPr>
        <w:t xml:space="preserve"> </w:t>
      </w:r>
      <w:r w:rsidR="006723AC" w:rsidRPr="00260E18">
        <w:rPr>
          <w:rFonts w:ascii="Arial" w:hAnsi="Arial" w:cs="Arial"/>
          <w:sz w:val="20"/>
          <w:szCs w:val="20"/>
        </w:rPr>
        <w:t>The bone resorption marker (betacrosslaps) was found to be reducing in all the groups whereas the decrease</w:t>
      </w:r>
      <w:r w:rsidR="005A71B7" w:rsidRPr="00260E18">
        <w:rPr>
          <w:rFonts w:ascii="Arial" w:hAnsi="Arial" w:cs="Arial"/>
          <w:sz w:val="20"/>
          <w:szCs w:val="20"/>
        </w:rPr>
        <w:t xml:space="preserve"> (</w:t>
      </w:r>
      <w:r w:rsidR="005A71B7" w:rsidRPr="00260E18">
        <w:rPr>
          <w:rFonts w:ascii="Arial" w:eastAsia="Times New Roman" w:hAnsi="Arial" w:cs="Arial"/>
          <w:sz w:val="20"/>
          <w:szCs w:val="20"/>
        </w:rPr>
        <w:t>0.32</w:t>
      </w:r>
      <w:r w:rsidR="005A71B7" w:rsidRPr="00260E18">
        <w:rPr>
          <w:rFonts w:ascii="Arial" w:eastAsia="Cambria" w:hAnsi="Arial" w:cs="Arial"/>
          <w:sz w:val="20"/>
          <w:szCs w:val="20"/>
        </w:rPr>
        <w:t>±0.130</w:t>
      </w:r>
      <w:r w:rsidR="009F30D9" w:rsidRPr="00260E18">
        <w:rPr>
          <w:rFonts w:ascii="Arial" w:eastAsia="Cambria" w:hAnsi="Arial" w:cs="Arial"/>
          <w:sz w:val="20"/>
          <w:szCs w:val="20"/>
        </w:rPr>
        <w:t xml:space="preserve"> </w:t>
      </w:r>
      <w:proofErr w:type="spellStart"/>
      <w:r w:rsidR="009F30D9" w:rsidRPr="00260E18">
        <w:rPr>
          <w:rFonts w:ascii="Arial" w:eastAsia="Cambria" w:hAnsi="Arial" w:cs="Arial"/>
          <w:sz w:val="20"/>
          <w:szCs w:val="20"/>
        </w:rPr>
        <w:t>ng</w:t>
      </w:r>
      <w:proofErr w:type="spellEnd"/>
      <w:r w:rsidR="009F30D9" w:rsidRPr="00260E18">
        <w:rPr>
          <w:rFonts w:ascii="Arial" w:eastAsia="Cambria" w:hAnsi="Arial" w:cs="Arial"/>
          <w:sz w:val="20"/>
          <w:szCs w:val="20"/>
        </w:rPr>
        <w:t>/ml</w:t>
      </w:r>
      <w:r w:rsidR="00DB6403" w:rsidRPr="00260E18">
        <w:rPr>
          <w:rFonts w:ascii="Arial" w:eastAsia="Cambria" w:hAnsi="Arial" w:cs="Arial"/>
          <w:sz w:val="20"/>
          <w:szCs w:val="20"/>
        </w:rPr>
        <w:t xml:space="preserve"> to </w:t>
      </w:r>
      <w:r w:rsidR="00DB6403" w:rsidRPr="00260E18">
        <w:rPr>
          <w:rFonts w:ascii="Arial" w:eastAsia="Times New Roman" w:hAnsi="Arial" w:cs="Arial"/>
          <w:color w:val="000000"/>
          <w:sz w:val="20"/>
          <w:szCs w:val="20"/>
        </w:rPr>
        <w:t>0.25</w:t>
      </w:r>
      <w:r w:rsidR="00DB6403" w:rsidRPr="00260E18">
        <w:rPr>
          <w:rFonts w:ascii="Arial" w:eastAsia="Cambria" w:hAnsi="Arial" w:cs="Arial"/>
          <w:sz w:val="20"/>
          <w:szCs w:val="20"/>
        </w:rPr>
        <w:t>±0</w:t>
      </w:r>
      <w:r w:rsidR="00DB6403" w:rsidRPr="00260E18">
        <w:rPr>
          <w:rFonts w:ascii="Arial" w:eastAsia="Times New Roman" w:hAnsi="Arial" w:cs="Arial"/>
          <w:color w:val="000000"/>
          <w:sz w:val="20"/>
          <w:szCs w:val="20"/>
        </w:rPr>
        <w:t>.130</w:t>
      </w:r>
      <w:r w:rsidR="009F30D9" w:rsidRPr="00260E18">
        <w:rPr>
          <w:rFonts w:ascii="Arial" w:eastAsia="Cambria" w:hAnsi="Arial" w:cs="Arial"/>
          <w:sz w:val="20"/>
          <w:szCs w:val="20"/>
        </w:rPr>
        <w:t xml:space="preserve"> </w:t>
      </w:r>
      <w:proofErr w:type="spellStart"/>
      <w:r w:rsidR="009F30D9" w:rsidRPr="00260E18">
        <w:rPr>
          <w:rFonts w:ascii="Arial" w:eastAsia="Cambria" w:hAnsi="Arial" w:cs="Arial"/>
          <w:sz w:val="20"/>
          <w:szCs w:val="20"/>
        </w:rPr>
        <w:t>ng</w:t>
      </w:r>
      <w:proofErr w:type="spellEnd"/>
      <w:r w:rsidR="009F30D9" w:rsidRPr="00260E18">
        <w:rPr>
          <w:rFonts w:ascii="Arial" w:eastAsia="Cambria" w:hAnsi="Arial" w:cs="Arial"/>
          <w:sz w:val="20"/>
          <w:szCs w:val="20"/>
        </w:rPr>
        <w:t>/ml</w:t>
      </w:r>
      <w:r w:rsidR="005A71B7" w:rsidRPr="00260E18">
        <w:rPr>
          <w:rFonts w:ascii="Arial" w:hAnsi="Arial" w:cs="Arial"/>
          <w:sz w:val="20"/>
          <w:szCs w:val="20"/>
        </w:rPr>
        <w:t>)</w:t>
      </w:r>
      <w:r w:rsidR="006723AC" w:rsidRPr="00260E18">
        <w:rPr>
          <w:rFonts w:ascii="Arial" w:hAnsi="Arial" w:cs="Arial"/>
          <w:sz w:val="20"/>
          <w:szCs w:val="20"/>
        </w:rPr>
        <w:t xml:space="preserve"> was found to be statistically highly significant (p&lt;0.01) in experimental group of perimenopausal subjects and significant (p&lt;0.05) in experimental group of postmenopausal subjects</w:t>
      </w:r>
      <w:r w:rsidR="00DB6403" w:rsidRPr="00260E18">
        <w:rPr>
          <w:rFonts w:ascii="Arial" w:hAnsi="Arial" w:cs="Arial"/>
          <w:sz w:val="20"/>
          <w:szCs w:val="20"/>
        </w:rPr>
        <w:t xml:space="preserve"> (</w:t>
      </w:r>
      <w:r w:rsidR="00DB6403" w:rsidRPr="00260E18">
        <w:rPr>
          <w:rFonts w:ascii="Arial" w:eastAsia="Times New Roman" w:hAnsi="Arial" w:cs="Arial"/>
          <w:sz w:val="20"/>
          <w:szCs w:val="20"/>
        </w:rPr>
        <w:t>1.11</w:t>
      </w:r>
      <w:r w:rsidR="00DB6403" w:rsidRPr="00260E18">
        <w:rPr>
          <w:rFonts w:ascii="Arial" w:eastAsia="Cambria" w:hAnsi="Arial" w:cs="Arial"/>
          <w:sz w:val="20"/>
          <w:szCs w:val="20"/>
        </w:rPr>
        <w:t>±0.290</w:t>
      </w:r>
      <w:r w:rsidR="009F30D9" w:rsidRPr="00260E18">
        <w:rPr>
          <w:rFonts w:ascii="Arial" w:eastAsia="Cambria" w:hAnsi="Arial" w:cs="Arial"/>
          <w:sz w:val="20"/>
          <w:szCs w:val="20"/>
        </w:rPr>
        <w:t xml:space="preserve"> </w:t>
      </w:r>
      <w:proofErr w:type="spellStart"/>
      <w:r w:rsidR="009F30D9" w:rsidRPr="00260E18">
        <w:rPr>
          <w:rFonts w:ascii="Arial" w:eastAsia="Cambria" w:hAnsi="Arial" w:cs="Arial"/>
          <w:sz w:val="20"/>
          <w:szCs w:val="20"/>
        </w:rPr>
        <w:t>ng</w:t>
      </w:r>
      <w:proofErr w:type="spellEnd"/>
      <w:r w:rsidR="009F30D9" w:rsidRPr="00260E18">
        <w:rPr>
          <w:rFonts w:ascii="Arial" w:eastAsia="Cambria" w:hAnsi="Arial" w:cs="Arial"/>
          <w:sz w:val="20"/>
          <w:szCs w:val="20"/>
        </w:rPr>
        <w:t>/ml</w:t>
      </w:r>
      <w:r w:rsidR="00DB6403" w:rsidRPr="00260E18">
        <w:rPr>
          <w:rFonts w:ascii="Arial" w:eastAsia="Cambria" w:hAnsi="Arial" w:cs="Arial"/>
          <w:sz w:val="20"/>
          <w:szCs w:val="20"/>
        </w:rPr>
        <w:t xml:space="preserve"> to </w:t>
      </w:r>
      <w:r w:rsidR="00DB6403" w:rsidRPr="00260E18">
        <w:rPr>
          <w:rFonts w:ascii="Arial" w:eastAsia="Times New Roman" w:hAnsi="Arial" w:cs="Arial"/>
          <w:color w:val="000000"/>
          <w:sz w:val="20"/>
          <w:szCs w:val="20"/>
        </w:rPr>
        <w:t>0.42</w:t>
      </w:r>
      <w:r w:rsidR="00DB6403" w:rsidRPr="00260E18">
        <w:rPr>
          <w:rFonts w:ascii="Arial" w:eastAsia="Cambria" w:hAnsi="Arial" w:cs="Arial"/>
          <w:sz w:val="20"/>
          <w:szCs w:val="20"/>
        </w:rPr>
        <w:t>±0</w:t>
      </w:r>
      <w:r w:rsidR="00DB6403" w:rsidRPr="00260E18">
        <w:rPr>
          <w:rFonts w:ascii="Arial" w:eastAsia="Times New Roman" w:hAnsi="Arial" w:cs="Arial"/>
          <w:color w:val="000000"/>
          <w:sz w:val="20"/>
          <w:szCs w:val="20"/>
        </w:rPr>
        <w:t>.263</w:t>
      </w:r>
      <w:r w:rsidR="009F30D9" w:rsidRPr="00260E18">
        <w:rPr>
          <w:rFonts w:ascii="Arial" w:eastAsia="Cambria" w:hAnsi="Arial" w:cs="Arial"/>
          <w:sz w:val="20"/>
          <w:szCs w:val="20"/>
        </w:rPr>
        <w:t xml:space="preserve"> </w:t>
      </w:r>
      <w:proofErr w:type="spellStart"/>
      <w:r w:rsidR="009F30D9" w:rsidRPr="00260E18">
        <w:rPr>
          <w:rFonts w:ascii="Arial" w:eastAsia="Cambria" w:hAnsi="Arial" w:cs="Arial"/>
          <w:sz w:val="20"/>
          <w:szCs w:val="20"/>
        </w:rPr>
        <w:t>ng</w:t>
      </w:r>
      <w:proofErr w:type="spellEnd"/>
      <w:r w:rsidR="009F30D9" w:rsidRPr="00260E18">
        <w:rPr>
          <w:rFonts w:ascii="Arial" w:eastAsia="Cambria" w:hAnsi="Arial" w:cs="Arial"/>
          <w:sz w:val="20"/>
          <w:szCs w:val="20"/>
        </w:rPr>
        <w:t>/ml</w:t>
      </w:r>
      <w:r w:rsidR="00DB6403" w:rsidRPr="00260E18">
        <w:rPr>
          <w:rFonts w:ascii="Arial" w:hAnsi="Arial" w:cs="Arial"/>
          <w:sz w:val="20"/>
          <w:szCs w:val="20"/>
        </w:rPr>
        <w:t>)</w:t>
      </w:r>
      <w:r w:rsidR="006723AC" w:rsidRPr="00260E18">
        <w:rPr>
          <w:rFonts w:ascii="Arial" w:hAnsi="Arial" w:cs="Arial"/>
          <w:sz w:val="20"/>
          <w:szCs w:val="20"/>
        </w:rPr>
        <w:t xml:space="preserve">. </w:t>
      </w:r>
      <w:r w:rsidR="00EF32B5" w:rsidRPr="00260E18">
        <w:rPr>
          <w:rFonts w:ascii="Arial" w:hAnsi="Arial" w:cs="Arial"/>
          <w:b/>
          <w:sz w:val="20"/>
          <w:szCs w:val="20"/>
        </w:rPr>
        <w:t xml:space="preserve">Conclusion: </w:t>
      </w:r>
      <w:r w:rsidR="00EF32B5" w:rsidRPr="00260E18">
        <w:rPr>
          <w:rFonts w:ascii="Arial" w:hAnsi="Arial" w:cs="Arial"/>
          <w:sz w:val="20"/>
          <w:szCs w:val="20"/>
        </w:rPr>
        <w:t>With the existing severe calcium deficiency in Indian pop</w:t>
      </w:r>
      <w:r w:rsidR="007F1879">
        <w:rPr>
          <w:rFonts w:ascii="Arial" w:hAnsi="Arial" w:cs="Arial"/>
          <w:sz w:val="20"/>
          <w:szCs w:val="20"/>
        </w:rPr>
        <w:t>ulation, incorporating</w:t>
      </w:r>
      <w:r w:rsidR="00EF32B5" w:rsidRPr="00260E18">
        <w:rPr>
          <w:rFonts w:ascii="Arial" w:hAnsi="Arial" w:cs="Arial"/>
          <w:sz w:val="20"/>
          <w:szCs w:val="20"/>
        </w:rPr>
        <w:t xml:space="preserve"> indigenous calcium rich foods that could be prepared easily at household level would be beneficial in </w:t>
      </w:r>
      <w:r w:rsidR="00865078" w:rsidRPr="00260E18">
        <w:rPr>
          <w:rFonts w:ascii="Arial" w:hAnsi="Arial" w:cs="Arial"/>
          <w:sz w:val="20"/>
          <w:szCs w:val="20"/>
        </w:rPr>
        <w:t xml:space="preserve">increasing dietary calcium </w:t>
      </w:r>
      <w:proofErr w:type="gramStart"/>
      <w:r w:rsidR="00865078" w:rsidRPr="00260E18">
        <w:rPr>
          <w:rFonts w:ascii="Arial" w:hAnsi="Arial" w:cs="Arial"/>
          <w:sz w:val="20"/>
          <w:szCs w:val="20"/>
        </w:rPr>
        <w:t>intake which</w:t>
      </w:r>
      <w:proofErr w:type="gramEnd"/>
      <w:r w:rsidR="00865078" w:rsidRPr="00260E18">
        <w:rPr>
          <w:rFonts w:ascii="Arial" w:hAnsi="Arial" w:cs="Arial"/>
          <w:sz w:val="20"/>
          <w:szCs w:val="20"/>
        </w:rPr>
        <w:t xml:space="preserve"> in turn would reduce the bone turnover</w:t>
      </w:r>
      <w:r w:rsidR="00EF32B5" w:rsidRPr="00260E18">
        <w:rPr>
          <w:rFonts w:ascii="Arial" w:hAnsi="Arial" w:cs="Arial"/>
          <w:sz w:val="20"/>
          <w:szCs w:val="20"/>
        </w:rPr>
        <w:t>.</w:t>
      </w:r>
    </w:p>
    <w:p w14:paraId="289C17AF" w14:textId="77777777" w:rsidR="00EF32B5" w:rsidRPr="00260E18" w:rsidRDefault="00EF32B5" w:rsidP="00BF585E">
      <w:pPr>
        <w:jc w:val="both"/>
        <w:rPr>
          <w:rFonts w:ascii="Arial" w:hAnsi="Arial" w:cs="Arial"/>
          <w:sz w:val="20"/>
          <w:szCs w:val="20"/>
        </w:rPr>
      </w:pPr>
    </w:p>
    <w:p w14:paraId="27D9C13D" w14:textId="51E1DCD8" w:rsidR="00BF585E" w:rsidRDefault="00BF585E" w:rsidP="00BF585E">
      <w:pPr>
        <w:jc w:val="both"/>
        <w:rPr>
          <w:rFonts w:ascii="Arial" w:hAnsi="Arial" w:cs="Arial"/>
          <w:sz w:val="20"/>
          <w:szCs w:val="20"/>
        </w:rPr>
      </w:pPr>
      <w:r w:rsidRPr="0066782A">
        <w:rPr>
          <w:rFonts w:ascii="Arial" w:hAnsi="Arial" w:cs="Arial"/>
          <w:b/>
          <w:sz w:val="20"/>
          <w:szCs w:val="20"/>
        </w:rPr>
        <w:t>Key words:</w:t>
      </w:r>
      <w:r w:rsidRPr="00260E18">
        <w:rPr>
          <w:rFonts w:ascii="Arial" w:hAnsi="Arial" w:cs="Arial"/>
          <w:sz w:val="20"/>
          <w:szCs w:val="20"/>
        </w:rPr>
        <w:t xml:space="preserve"> Calcium,</w:t>
      </w:r>
      <w:r w:rsidR="005C6CC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60E18">
        <w:rPr>
          <w:rFonts w:ascii="Arial" w:hAnsi="Arial" w:cs="Arial"/>
          <w:sz w:val="20"/>
          <w:szCs w:val="20"/>
        </w:rPr>
        <w:t>Postmenopause</w:t>
      </w:r>
      <w:proofErr w:type="spellEnd"/>
      <w:r w:rsidRPr="00260E1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60E18">
        <w:rPr>
          <w:rFonts w:ascii="Arial" w:hAnsi="Arial" w:cs="Arial"/>
          <w:sz w:val="20"/>
          <w:szCs w:val="20"/>
        </w:rPr>
        <w:t>Perimenopause</w:t>
      </w:r>
      <w:proofErr w:type="spellEnd"/>
      <w:r w:rsidR="00756AAC" w:rsidRPr="00260E18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756AAC" w:rsidRPr="00260E18">
        <w:rPr>
          <w:rFonts w:ascii="Arial" w:hAnsi="Arial" w:cs="Arial"/>
          <w:sz w:val="20"/>
          <w:szCs w:val="20"/>
        </w:rPr>
        <w:t>bo</w:t>
      </w:r>
      <w:r w:rsidR="00DE1545">
        <w:rPr>
          <w:rFonts w:ascii="Arial" w:hAnsi="Arial" w:cs="Arial"/>
          <w:sz w:val="20"/>
          <w:szCs w:val="20"/>
        </w:rPr>
        <w:t>ne</w:t>
      </w:r>
      <w:proofErr w:type="gramEnd"/>
      <w:r w:rsidR="00DE1545">
        <w:rPr>
          <w:rFonts w:ascii="Arial" w:hAnsi="Arial" w:cs="Arial"/>
          <w:sz w:val="20"/>
          <w:szCs w:val="20"/>
        </w:rPr>
        <w:t xml:space="preserve"> resorption, bone absorption</w:t>
      </w:r>
    </w:p>
    <w:p w14:paraId="462AC882" w14:textId="77777777" w:rsidR="00D76C43" w:rsidRDefault="00D76C43" w:rsidP="00BF585E">
      <w:pPr>
        <w:jc w:val="both"/>
        <w:rPr>
          <w:rFonts w:ascii="Arial" w:hAnsi="Arial" w:cs="Arial"/>
          <w:sz w:val="20"/>
          <w:szCs w:val="20"/>
        </w:rPr>
      </w:pPr>
    </w:p>
    <w:p w14:paraId="725AF233" w14:textId="7AE7D226" w:rsidR="00D76C43" w:rsidRPr="00D76C43" w:rsidRDefault="00D76C43" w:rsidP="00BF585E">
      <w:pPr>
        <w:jc w:val="both"/>
        <w:rPr>
          <w:rFonts w:ascii="Arial" w:hAnsi="Arial" w:cs="Arial"/>
          <w:b/>
          <w:sz w:val="20"/>
          <w:szCs w:val="20"/>
        </w:rPr>
      </w:pPr>
      <w:r w:rsidRPr="00D76C43">
        <w:rPr>
          <w:rFonts w:ascii="Arial" w:hAnsi="Arial" w:cs="Arial"/>
          <w:b/>
          <w:sz w:val="20"/>
          <w:szCs w:val="20"/>
        </w:rPr>
        <w:t>Professional biography</w:t>
      </w:r>
    </w:p>
    <w:p w14:paraId="260A799A" w14:textId="789D54A6" w:rsidR="00D76C43" w:rsidRDefault="00D76C43" w:rsidP="00BF585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author has completed PhD in 2019 from Sri Ramachandra Institute of Higher Education and Research. She is currently working in the same university as Senior lecturer and is also a Registered Dietitian with an Experience of more than 10 years. She has five publications with respect to the above study area. </w:t>
      </w:r>
    </w:p>
    <w:p w14:paraId="4A28CA0F" w14:textId="77777777" w:rsidR="00C41EB5" w:rsidRDefault="00C41EB5" w:rsidP="00BF585E">
      <w:pPr>
        <w:jc w:val="both"/>
        <w:rPr>
          <w:rFonts w:ascii="Arial" w:hAnsi="Arial" w:cs="Arial"/>
          <w:sz w:val="20"/>
          <w:szCs w:val="20"/>
        </w:rPr>
      </w:pPr>
    </w:p>
    <w:p w14:paraId="19DC6F27" w14:textId="24E224A1" w:rsidR="00C41EB5" w:rsidRPr="00260E18" w:rsidRDefault="00C41EB5" w:rsidP="00BF585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2DA5C8F" wp14:editId="3C747547">
            <wp:extent cx="609600" cy="821055"/>
            <wp:effectExtent l="76200" t="76200" r="152400" b="144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1" t="3415" r="4863" b="3902"/>
                    <a:stretch/>
                  </pic:blipFill>
                  <pic:spPr bwMode="auto">
                    <a:xfrm>
                      <a:off x="0" y="0"/>
                      <a:ext cx="610664" cy="8224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1EB5" w:rsidRPr="00260E18" w:rsidSect="00CC006C">
      <w:pgSz w:w="11900" w:h="16840"/>
      <w:pgMar w:top="1440" w:right="180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25476" w14:textId="77777777" w:rsidR="00D76C43" w:rsidRDefault="00D76C43" w:rsidP="00F57D18">
      <w:r>
        <w:separator/>
      </w:r>
    </w:p>
  </w:endnote>
  <w:endnote w:type="continuationSeparator" w:id="0">
    <w:p w14:paraId="6D924A87" w14:textId="77777777" w:rsidR="00D76C43" w:rsidRDefault="00D76C43" w:rsidP="00F57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7A901A" w14:textId="77777777" w:rsidR="00D76C43" w:rsidRDefault="00D76C43" w:rsidP="00F57D18">
      <w:r>
        <w:separator/>
      </w:r>
    </w:p>
  </w:footnote>
  <w:footnote w:type="continuationSeparator" w:id="0">
    <w:p w14:paraId="757322C8" w14:textId="77777777" w:rsidR="00D76C43" w:rsidRDefault="00D76C43" w:rsidP="00F57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E04FE"/>
    <w:multiLevelType w:val="multilevel"/>
    <w:tmpl w:val="7ADE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623C58"/>
    <w:multiLevelType w:val="hybridMultilevel"/>
    <w:tmpl w:val="D2861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497"/>
    <w:rsid w:val="000471BA"/>
    <w:rsid w:val="000A0B0D"/>
    <w:rsid w:val="000F7965"/>
    <w:rsid w:val="00103227"/>
    <w:rsid w:val="001124A4"/>
    <w:rsid w:val="00162934"/>
    <w:rsid w:val="001B33E9"/>
    <w:rsid w:val="001F6266"/>
    <w:rsid w:val="00260E18"/>
    <w:rsid w:val="00280958"/>
    <w:rsid w:val="002B4DFE"/>
    <w:rsid w:val="002E12E0"/>
    <w:rsid w:val="002E2A99"/>
    <w:rsid w:val="002F323F"/>
    <w:rsid w:val="00316BA9"/>
    <w:rsid w:val="0034637A"/>
    <w:rsid w:val="00347C9E"/>
    <w:rsid w:val="0037189C"/>
    <w:rsid w:val="0038726C"/>
    <w:rsid w:val="004309D1"/>
    <w:rsid w:val="004D513C"/>
    <w:rsid w:val="0051001F"/>
    <w:rsid w:val="005A571E"/>
    <w:rsid w:val="005A71B7"/>
    <w:rsid w:val="005B68B0"/>
    <w:rsid w:val="005C6CC7"/>
    <w:rsid w:val="005D6D9E"/>
    <w:rsid w:val="0066782A"/>
    <w:rsid w:val="006723AC"/>
    <w:rsid w:val="0068558D"/>
    <w:rsid w:val="006A0346"/>
    <w:rsid w:val="00703B30"/>
    <w:rsid w:val="00711AF2"/>
    <w:rsid w:val="0073488B"/>
    <w:rsid w:val="0074057F"/>
    <w:rsid w:val="0074307D"/>
    <w:rsid w:val="007456EB"/>
    <w:rsid w:val="00756AAC"/>
    <w:rsid w:val="0076407C"/>
    <w:rsid w:val="007D2D65"/>
    <w:rsid w:val="007F1879"/>
    <w:rsid w:val="008000AC"/>
    <w:rsid w:val="00865078"/>
    <w:rsid w:val="008E3706"/>
    <w:rsid w:val="0091277A"/>
    <w:rsid w:val="009355E8"/>
    <w:rsid w:val="009470AF"/>
    <w:rsid w:val="009D0EEE"/>
    <w:rsid w:val="009D7C10"/>
    <w:rsid w:val="009F30D9"/>
    <w:rsid w:val="00A21108"/>
    <w:rsid w:val="00A316CD"/>
    <w:rsid w:val="00A35C67"/>
    <w:rsid w:val="00A55CED"/>
    <w:rsid w:val="00AB206E"/>
    <w:rsid w:val="00AD491D"/>
    <w:rsid w:val="00B02214"/>
    <w:rsid w:val="00B10ADB"/>
    <w:rsid w:val="00B22BBA"/>
    <w:rsid w:val="00B81C23"/>
    <w:rsid w:val="00BB3C36"/>
    <w:rsid w:val="00BC5677"/>
    <w:rsid w:val="00BF585E"/>
    <w:rsid w:val="00C41EB5"/>
    <w:rsid w:val="00C53B37"/>
    <w:rsid w:val="00C83D6B"/>
    <w:rsid w:val="00C87B05"/>
    <w:rsid w:val="00C966A6"/>
    <w:rsid w:val="00CB11D1"/>
    <w:rsid w:val="00CC006C"/>
    <w:rsid w:val="00D76C43"/>
    <w:rsid w:val="00D94B41"/>
    <w:rsid w:val="00DB6403"/>
    <w:rsid w:val="00DD49C4"/>
    <w:rsid w:val="00DE1545"/>
    <w:rsid w:val="00E1018F"/>
    <w:rsid w:val="00E14219"/>
    <w:rsid w:val="00E17BCF"/>
    <w:rsid w:val="00E27353"/>
    <w:rsid w:val="00E57C9E"/>
    <w:rsid w:val="00EB2C37"/>
    <w:rsid w:val="00EF32B5"/>
    <w:rsid w:val="00EF4D7E"/>
    <w:rsid w:val="00F04170"/>
    <w:rsid w:val="00F13EF3"/>
    <w:rsid w:val="00F57D18"/>
    <w:rsid w:val="00F90497"/>
    <w:rsid w:val="00FD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CD02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3A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en-IN" w:eastAsia="en-IN"/>
    </w:rPr>
  </w:style>
  <w:style w:type="paragraph" w:styleId="FootnoteText">
    <w:name w:val="footnote text"/>
    <w:basedOn w:val="Normal"/>
    <w:link w:val="FootnoteTextChar"/>
    <w:uiPriority w:val="99"/>
    <w:unhideWhenUsed/>
    <w:rsid w:val="00F57D18"/>
  </w:style>
  <w:style w:type="character" w:customStyle="1" w:styleId="FootnoteTextChar">
    <w:name w:val="Footnote Text Char"/>
    <w:basedOn w:val="DefaultParagraphFont"/>
    <w:link w:val="FootnoteText"/>
    <w:uiPriority w:val="99"/>
    <w:rsid w:val="00F57D18"/>
  </w:style>
  <w:style w:type="character" w:styleId="FootnoteReference">
    <w:name w:val="footnote reference"/>
    <w:basedOn w:val="DefaultParagraphFont"/>
    <w:uiPriority w:val="99"/>
    <w:unhideWhenUsed/>
    <w:rsid w:val="00F57D1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55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5E8"/>
  </w:style>
  <w:style w:type="paragraph" w:styleId="Footer">
    <w:name w:val="footer"/>
    <w:basedOn w:val="Normal"/>
    <w:link w:val="FooterChar"/>
    <w:uiPriority w:val="99"/>
    <w:unhideWhenUsed/>
    <w:rsid w:val="009355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5E8"/>
  </w:style>
  <w:style w:type="paragraph" w:styleId="BalloonText">
    <w:name w:val="Balloon Text"/>
    <w:basedOn w:val="Normal"/>
    <w:link w:val="BalloonTextChar"/>
    <w:uiPriority w:val="99"/>
    <w:semiHidden/>
    <w:unhideWhenUsed/>
    <w:rsid w:val="00C41E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EB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3A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en-IN" w:eastAsia="en-IN"/>
    </w:rPr>
  </w:style>
  <w:style w:type="paragraph" w:styleId="FootnoteText">
    <w:name w:val="footnote text"/>
    <w:basedOn w:val="Normal"/>
    <w:link w:val="FootnoteTextChar"/>
    <w:uiPriority w:val="99"/>
    <w:unhideWhenUsed/>
    <w:rsid w:val="00F57D18"/>
  </w:style>
  <w:style w:type="character" w:customStyle="1" w:styleId="FootnoteTextChar">
    <w:name w:val="Footnote Text Char"/>
    <w:basedOn w:val="DefaultParagraphFont"/>
    <w:link w:val="FootnoteText"/>
    <w:uiPriority w:val="99"/>
    <w:rsid w:val="00F57D18"/>
  </w:style>
  <w:style w:type="character" w:styleId="FootnoteReference">
    <w:name w:val="footnote reference"/>
    <w:basedOn w:val="DefaultParagraphFont"/>
    <w:uiPriority w:val="99"/>
    <w:unhideWhenUsed/>
    <w:rsid w:val="00F57D1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55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5E8"/>
  </w:style>
  <w:style w:type="paragraph" w:styleId="Footer">
    <w:name w:val="footer"/>
    <w:basedOn w:val="Normal"/>
    <w:link w:val="FooterChar"/>
    <w:uiPriority w:val="99"/>
    <w:unhideWhenUsed/>
    <w:rsid w:val="009355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5E8"/>
  </w:style>
  <w:style w:type="paragraph" w:styleId="BalloonText">
    <w:name w:val="Balloon Text"/>
    <w:basedOn w:val="Normal"/>
    <w:link w:val="BalloonTextChar"/>
    <w:uiPriority w:val="99"/>
    <w:semiHidden/>
    <w:unhideWhenUsed/>
    <w:rsid w:val="00C41E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EB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1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479</Words>
  <Characters>2735</Characters>
  <Application>Microsoft Macintosh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gayathri</dc:creator>
  <cp:keywords/>
  <dc:description/>
  <cp:lastModifiedBy>gayathri</cp:lastModifiedBy>
  <cp:revision>23</cp:revision>
  <dcterms:created xsi:type="dcterms:W3CDTF">2019-05-10T12:01:00Z</dcterms:created>
  <dcterms:modified xsi:type="dcterms:W3CDTF">2019-06-13T04:03:00Z</dcterms:modified>
</cp:coreProperties>
</file>