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07D2E8F" w14:textId="5974A728" w:rsidR="00AE3E37" w:rsidRDefault="003B3092" w:rsidP="00494130">
      <w:pPr>
        <w:pStyle w:val="Heading1"/>
        <w:spacing w:before="170"/>
        <w:ind w:left="0"/>
      </w:pPr>
      <w:r w:rsidRPr="003B3092">
        <w:rPr>
          <w:color w:val="337AB7"/>
          <w:lang w:val="en-GB"/>
        </w:rPr>
        <w:t>Global Health in Swedish Nursing Curricula: Navigating the Desirable and the Necessary</w:t>
      </w:r>
    </w:p>
    <w:p w14:paraId="0D701120" w14:textId="02CCB59D" w:rsidR="0078738A" w:rsidRDefault="00BC1FDB" w:rsidP="005973B9">
      <w:pPr>
        <w:pStyle w:val="BodyText"/>
        <w:spacing w:before="73" w:line="198" w:lineRule="exact"/>
        <w:ind w:left="100" w:right="5987"/>
        <w:rPr>
          <w:rFonts w:ascii="Arial"/>
        </w:rPr>
      </w:pPr>
      <w:r>
        <w:rPr>
          <w:rFonts w:ascii="Arial"/>
        </w:rPr>
        <w:t>Dr,</w:t>
      </w:r>
      <w:r w:rsidR="005973B9">
        <w:rPr>
          <w:rFonts w:ascii="Arial"/>
        </w:rPr>
        <w:t xml:space="preserve"> </w:t>
      </w:r>
      <w:r>
        <w:rPr>
          <w:rFonts w:ascii="Arial"/>
        </w:rPr>
        <w:t xml:space="preserve">Monne Wihlborg </w:t>
      </w:r>
      <w:r w:rsidR="005973B9">
        <w:rPr>
          <w:rFonts w:ascii="Arial"/>
        </w:rPr>
        <w:t xml:space="preserve">RN </w:t>
      </w:r>
      <w:r>
        <w:rPr>
          <w:rFonts w:ascii="Arial"/>
        </w:rPr>
        <w:t>RNI PhD, Lund University Sweden</w:t>
      </w:r>
    </w:p>
    <w:p w14:paraId="1F4D9EC4" w14:textId="4A123D01" w:rsidR="005973B9" w:rsidRDefault="00BC1FDB" w:rsidP="005973B9">
      <w:pPr>
        <w:pStyle w:val="BodyText"/>
        <w:spacing w:before="73" w:line="198" w:lineRule="exact"/>
        <w:ind w:left="100" w:right="5987"/>
        <w:rPr>
          <w:rFonts w:ascii="Arial"/>
        </w:rPr>
      </w:pPr>
      <w:r>
        <w:rPr>
          <w:rFonts w:ascii="Arial"/>
        </w:rPr>
        <w:t xml:space="preserve">Dr Helen Avery </w:t>
      </w:r>
      <w:r w:rsidR="005973B9" w:rsidRPr="003B3092">
        <w:rPr>
          <w:rFonts w:ascii="Arial" w:hAnsi="Arial" w:cs="Arial"/>
        </w:rPr>
        <w:t xml:space="preserve">PhD, </w:t>
      </w:r>
      <w:r w:rsidR="003B3092" w:rsidRPr="003B3092">
        <w:rPr>
          <w:rFonts w:ascii="Arial" w:eastAsiaTheme="minorHAnsi" w:hAnsi="Arial" w:cs="Arial"/>
          <w:lang w:val="en-GB"/>
        </w:rPr>
        <w:t>Linnaeus University, Sweden</w:t>
      </w:r>
    </w:p>
    <w:p w14:paraId="7FD08A22" w14:textId="77777777" w:rsidR="00AE3E37" w:rsidRDefault="00AE3E37">
      <w:pPr>
        <w:pStyle w:val="BodyText"/>
        <w:rPr>
          <w:rFonts w:ascii="Arial"/>
          <w:sz w:val="20"/>
        </w:rPr>
      </w:pPr>
    </w:p>
    <w:p w14:paraId="7E503EBF" w14:textId="77777777" w:rsidR="00AE3E37" w:rsidRDefault="00AE3E37">
      <w:pPr>
        <w:pStyle w:val="BodyText"/>
        <w:spacing w:before="3"/>
        <w:rPr>
          <w:rFonts w:ascii="Arial"/>
          <w:sz w:val="21"/>
        </w:rPr>
      </w:pPr>
    </w:p>
    <w:p w14:paraId="67842417"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53696630" w14:textId="1E3A3581" w:rsidR="00AE3E37" w:rsidRDefault="00A9710C">
      <w:pPr>
        <w:pStyle w:val="Heading3"/>
        <w:spacing w:before="147"/>
        <w:jc w:val="both"/>
      </w:pPr>
      <w:r>
        <w:rPr>
          <w:color w:val="BF5A14"/>
        </w:rPr>
        <w:t>Abstract</w:t>
      </w:r>
      <w:r w:rsidR="00483FF8">
        <w:rPr>
          <w:color w:val="BF5A14"/>
        </w:rPr>
        <w:t xml:space="preserve"> </w:t>
      </w:r>
      <w:bookmarkStart w:id="0" w:name="_GoBack"/>
      <w:bookmarkEnd w:id="0"/>
    </w:p>
    <w:p w14:paraId="0D82257E" w14:textId="4562EC3C" w:rsidR="00AE3E37" w:rsidRDefault="00B13CC5">
      <w:pPr>
        <w:pStyle w:val="BodyText"/>
        <w:spacing w:before="90" w:line="280" w:lineRule="auto"/>
        <w:ind w:left="100"/>
        <w:jc w:val="both"/>
      </w:pPr>
      <w:r w:rsidRPr="00BC15B1">
        <w:rPr>
          <w:lang w:val="en-GB"/>
        </w:rPr>
        <w:t>Global health challenges are likely to be aggravated in the coming years by rapid climate change and environmental degradation. To address the resulting health inequities, nurses need an integrated understanding of environmental and social determinants of health. This study adopts an explorative inductive approach to examine how global health and sustainability are expressed the course syllabi of undergraduate nursing programmes (</w:t>
      </w:r>
      <w:r w:rsidRPr="00BC15B1">
        <w:rPr>
          <w:i/>
          <w:iCs/>
          <w:lang w:val="en-GB"/>
        </w:rPr>
        <w:t xml:space="preserve">n </w:t>
      </w:r>
      <w:r w:rsidRPr="00BC15B1">
        <w:rPr>
          <w:lang w:val="en-GB"/>
        </w:rPr>
        <w:t>= 24) in Sweden.</w:t>
      </w:r>
      <w:r>
        <w:rPr>
          <w:lang w:val="en-GB"/>
        </w:rPr>
        <w:t xml:space="preserve"> </w:t>
      </w:r>
      <w:r w:rsidRPr="00BC15B1">
        <w:rPr>
          <w:rFonts w:cs="PalatinoLinotype-Roman"/>
          <w:lang w:val="en-GB"/>
        </w:rPr>
        <w:t>Among the major barriers to nurses’ action on SDH</w:t>
      </w:r>
      <w:r>
        <w:rPr>
          <w:rFonts w:cs="PalatinoLinotype-Roman"/>
          <w:lang w:val="en-GB"/>
        </w:rPr>
        <w:t xml:space="preserve"> (Social Determinants of health) mention the </w:t>
      </w:r>
      <w:r w:rsidRPr="00BC15B1">
        <w:rPr>
          <w:rFonts w:cs="PalatinoLinotype-Roman"/>
          <w:lang w:val="en-GB"/>
        </w:rPr>
        <w:t>dom</w:t>
      </w:r>
      <w:r>
        <w:rPr>
          <w:rFonts w:cs="PalatinoLinotype-Roman"/>
          <w:lang w:val="en-GB"/>
        </w:rPr>
        <w:t>inant ideology of individual responsibility and the emphasis on the nurse-person relationship</w:t>
      </w:r>
      <w:r w:rsidRPr="00BC15B1">
        <w:rPr>
          <w:rFonts w:cs="PalatinoLinotype-Roman"/>
          <w:lang w:val="en-GB"/>
        </w:rPr>
        <w:t xml:space="preserve">, rather than on population health </w:t>
      </w:r>
      <w:r>
        <w:rPr>
          <w:rFonts w:cs="PalatinoLinotype-Roman"/>
          <w:lang w:val="en-GB"/>
        </w:rPr>
        <w:t>and policy intervention</w:t>
      </w:r>
      <w:r w:rsidRPr="00BC15B1">
        <w:rPr>
          <w:rFonts w:cs="PalatinoLinotype-Roman"/>
          <w:lang w:val="en-GB"/>
        </w:rPr>
        <w:t xml:space="preserve">. </w:t>
      </w:r>
      <w:r w:rsidRPr="00BC15B1">
        <w:rPr>
          <w:lang w:val="en-GB"/>
        </w:rPr>
        <w:t>In this study, we will take our point of departure i</w:t>
      </w:r>
      <w:r>
        <w:rPr>
          <w:lang w:val="en-GB"/>
        </w:rPr>
        <w:t>n the international policy docu</w:t>
      </w:r>
      <w:r w:rsidRPr="00BC15B1">
        <w:rPr>
          <w:lang w:val="en-GB"/>
        </w:rPr>
        <w:t>ments emanating from the WHO and other organisations with respect to health inequities, development agendas and social determinants of health (WHO, 2006, 2008, 2011, 2019), considering their relationship to environmental issues</w:t>
      </w:r>
      <w:r>
        <w:rPr>
          <w:lang w:val="en-GB"/>
        </w:rPr>
        <w:t>, both concerning inequities be</w:t>
      </w:r>
      <w:r w:rsidRPr="00BC15B1">
        <w:rPr>
          <w:lang w:val="en-GB"/>
        </w:rPr>
        <w:t>tween countries, and within countries.</w:t>
      </w:r>
      <w:r>
        <w:rPr>
          <w:lang w:val="en-GB"/>
        </w:rPr>
        <w:t xml:space="preserve"> </w:t>
      </w:r>
      <w:r w:rsidRPr="00BC15B1">
        <w:rPr>
          <w:lang w:val="en-GB"/>
        </w:rPr>
        <w:t>The overall aim of this study is to investigate how global health and global health competencies appear in Swedish undergraduate 3-year</w:t>
      </w:r>
      <w:r>
        <w:rPr>
          <w:lang w:val="en-GB"/>
        </w:rPr>
        <w:t xml:space="preserve"> nursing programmes, with a par</w:t>
      </w:r>
      <w:r w:rsidRPr="00BC15B1">
        <w:rPr>
          <w:lang w:val="en-GB"/>
        </w:rPr>
        <w:t>ticular emphasis on social and environmental determinants of health. Data consisted of all available course descriptions in pr</w:t>
      </w:r>
      <w:r>
        <w:rPr>
          <w:lang w:val="en-GB"/>
        </w:rPr>
        <w:t>ogrammes offered in Sweden, col</w:t>
      </w:r>
      <w:r w:rsidRPr="00BC15B1">
        <w:rPr>
          <w:lang w:val="en-GB"/>
        </w:rPr>
        <w:t>lected between April 2020 to August 2020, which were scanned for content relating to global health Syllabi that contained at least some global health related content were then thematised.</w:t>
      </w:r>
      <w:r>
        <w:rPr>
          <w:lang w:val="en-GB"/>
        </w:rPr>
        <w:t xml:space="preserve"> Our statement is that s</w:t>
      </w:r>
      <w:r w:rsidRPr="00BC15B1">
        <w:rPr>
          <w:lang w:val="en-GB"/>
        </w:rPr>
        <w:t>ocial, environmental and structural determinants</w:t>
      </w:r>
      <w:r>
        <w:rPr>
          <w:lang w:val="en-GB"/>
        </w:rPr>
        <w:t xml:space="preserve"> on health have a marginal posi</w:t>
      </w:r>
      <w:r w:rsidRPr="00BC15B1">
        <w:rPr>
          <w:lang w:val="en-GB"/>
        </w:rPr>
        <w:t>tion within the education in nursing, according to our results, and we suggest that GH, environmental justice and SDH subject matter become m</w:t>
      </w:r>
      <w:r>
        <w:rPr>
          <w:lang w:val="en-GB"/>
        </w:rPr>
        <w:t>ore central and explicitly inte</w:t>
      </w:r>
      <w:r w:rsidRPr="00BC15B1">
        <w:rPr>
          <w:lang w:val="en-GB"/>
        </w:rPr>
        <w:t>grated in the undergraduate nurse curriculum. How we understand ‘health’ therefore needs to be further developed and globally framed, underpinned by a th</w:t>
      </w:r>
      <w:r>
        <w:rPr>
          <w:lang w:val="en-GB"/>
        </w:rPr>
        <w:t>eoretical and ontological under</w:t>
      </w:r>
      <w:r w:rsidRPr="00BC15B1">
        <w:rPr>
          <w:lang w:val="en-GB"/>
        </w:rPr>
        <w:t>standing.</w:t>
      </w:r>
    </w:p>
    <w:p w14:paraId="54E51562" w14:textId="352A9B5B" w:rsidR="00AE3E37" w:rsidRDefault="00A9710C">
      <w:pPr>
        <w:pStyle w:val="Heading3"/>
        <w:spacing w:before="74"/>
      </w:pPr>
      <w:r>
        <w:rPr>
          <w:b w:val="0"/>
        </w:rPr>
        <w:br w:type="column"/>
      </w:r>
    </w:p>
    <w:p w14:paraId="73723CCC" w14:textId="7939B03A" w:rsidR="00AE3E37" w:rsidRDefault="00AE3E37">
      <w:pPr>
        <w:pStyle w:val="BodyText"/>
        <w:spacing w:before="2"/>
        <w:rPr>
          <w:rFonts w:ascii="Arial"/>
          <w:b/>
          <w:sz w:val="16"/>
        </w:rPr>
      </w:pPr>
    </w:p>
    <w:p w14:paraId="0093430B" w14:textId="36DD2D79" w:rsidR="005973B9" w:rsidRDefault="005973B9" w:rsidP="005973B9">
      <w:pPr>
        <w:spacing w:line="204" w:lineRule="exact"/>
        <w:rPr>
          <w:rFonts w:ascii="Arial"/>
          <w:b/>
          <w:sz w:val="20"/>
        </w:rPr>
      </w:pPr>
      <w:r>
        <w:rPr>
          <w:rFonts w:ascii="Arial"/>
          <w:b/>
          <w:color w:val="BF5A14"/>
          <w:sz w:val="20"/>
        </w:rPr>
        <w:t>Recent Publications (minimum 5)</w:t>
      </w:r>
    </w:p>
    <w:p w14:paraId="2C7FA3E3" w14:textId="79561CCE" w:rsidR="005973B9" w:rsidRPr="00714BE9" w:rsidRDefault="00714BE9" w:rsidP="00714BE9">
      <w:pPr>
        <w:pStyle w:val="ListParagraph"/>
        <w:numPr>
          <w:ilvl w:val="0"/>
          <w:numId w:val="3"/>
        </w:numPr>
        <w:tabs>
          <w:tab w:val="left" w:pos="384"/>
        </w:tabs>
        <w:spacing w:before="103" w:line="216" w:lineRule="exact"/>
        <w:ind w:right="138" w:hanging="283"/>
        <w:rPr>
          <w:sz w:val="18"/>
          <w:szCs w:val="18"/>
        </w:rPr>
      </w:pPr>
      <w:r w:rsidRPr="00AE70C0">
        <w:rPr>
          <w:rFonts w:eastAsia="Times New Roman" w:cs="Times New Roman"/>
          <w:color w:val="000000"/>
          <w:sz w:val="18"/>
          <w:szCs w:val="18"/>
          <w:lang w:val="en-GB" w:eastAsia="en-GB"/>
        </w:rPr>
        <w:t xml:space="preserve">Wihlborg, M and Avery, H. (2021). Global health in Swedish nursing curriculum; navigating the desirable and the necessary. In a special Issue, </w:t>
      </w:r>
      <w:r w:rsidRPr="00AE70C0">
        <w:rPr>
          <w:rFonts w:eastAsia="Times New Roman" w:cs="Times New Roman"/>
          <w:i/>
          <w:iCs/>
          <w:color w:val="000000"/>
          <w:sz w:val="18"/>
          <w:szCs w:val="18"/>
          <w:lang w:val="en-GB" w:eastAsia="en-GB"/>
        </w:rPr>
        <w:t>International Journal of Environmental Research and Public Health</w:t>
      </w:r>
      <w:r w:rsidRPr="00AE70C0">
        <w:rPr>
          <w:rFonts w:eastAsia="Times New Roman" w:cs="Times New Roman"/>
          <w:color w:val="000000"/>
          <w:sz w:val="18"/>
          <w:szCs w:val="18"/>
          <w:lang w:val="en-GB" w:eastAsia="en-GB"/>
        </w:rPr>
        <w:t xml:space="preserve">, 18, 9372. </w:t>
      </w:r>
    </w:p>
    <w:p w14:paraId="37BEF95C" w14:textId="2F5857E1" w:rsidR="005973B9" w:rsidRPr="00B13CC5" w:rsidRDefault="00B71B33" w:rsidP="00B71B33">
      <w:pPr>
        <w:pStyle w:val="ListParagraph"/>
        <w:numPr>
          <w:ilvl w:val="0"/>
          <w:numId w:val="3"/>
        </w:numPr>
        <w:tabs>
          <w:tab w:val="left" w:pos="384"/>
        </w:tabs>
        <w:spacing w:line="216" w:lineRule="exact"/>
        <w:ind w:right="137" w:hanging="283"/>
        <w:rPr>
          <w:sz w:val="18"/>
          <w:szCs w:val="18"/>
        </w:rPr>
      </w:pPr>
      <w:r w:rsidRPr="00AE70C0">
        <w:rPr>
          <w:rFonts w:eastAsia="Times New Roman" w:cs="Times New Roman"/>
          <w:color w:val="000000"/>
          <w:sz w:val="18"/>
          <w:szCs w:val="18"/>
          <w:lang w:val="en-GB" w:eastAsia="en-GB"/>
        </w:rPr>
        <w:t xml:space="preserve">Wihlborg, M. </w:t>
      </w:r>
      <w:r w:rsidRPr="00AE70C0">
        <w:rPr>
          <w:rFonts w:eastAsia="Times New Roman" w:cs="Times New Roman"/>
          <w:bCs/>
          <w:color w:val="000000"/>
          <w:sz w:val="18"/>
          <w:szCs w:val="18"/>
          <w:lang w:val="en-GB" w:eastAsia="en-GB"/>
        </w:rPr>
        <w:t xml:space="preserve">(2019). </w:t>
      </w:r>
      <w:r w:rsidRPr="00AE70C0">
        <w:rPr>
          <w:rFonts w:eastAsia="Times New Roman" w:cs="Times New Roman"/>
          <w:color w:val="000000"/>
          <w:sz w:val="18"/>
          <w:szCs w:val="18"/>
          <w:lang w:val="en-GB" w:eastAsia="en-GB"/>
        </w:rPr>
        <w:t xml:space="preserve">Critical viewpoints on the Bologna Process in Europe: Can we do otherwise? Guest </w:t>
      </w:r>
      <w:r w:rsidRPr="007431DF">
        <w:rPr>
          <w:rFonts w:eastAsia="Times New Roman" w:cs="Times New Roman"/>
          <w:color w:val="000000"/>
          <w:sz w:val="18"/>
          <w:szCs w:val="18"/>
          <w:lang w:val="en-GB" w:eastAsia="en-GB"/>
        </w:rPr>
        <w:t>editors</w:t>
      </w:r>
      <w:r w:rsidRPr="007431DF">
        <w:rPr>
          <w:rFonts w:eastAsia="Times New Roman" w:cs="Times New Roman"/>
          <w:color w:val="000000"/>
          <w:sz w:val="18"/>
          <w:szCs w:val="18"/>
          <w:lang w:val="en-GB" w:eastAsia="en-GB"/>
        </w:rPr>
        <w:t xml:space="preserve"> Robson, S &amp; Wihlborg, M. </w:t>
      </w:r>
      <w:r w:rsidRPr="00AE70C0">
        <w:rPr>
          <w:rFonts w:eastAsia="Times New Roman" w:cs="Times New Roman"/>
          <w:bCs/>
          <w:color w:val="000000"/>
          <w:sz w:val="18"/>
          <w:szCs w:val="18"/>
          <w:lang w:val="en-GB" w:eastAsia="en-GB"/>
        </w:rPr>
        <w:t>Special issue</w:t>
      </w:r>
      <w:r w:rsidRPr="00AE70C0">
        <w:rPr>
          <w:rFonts w:eastAsia="Times New Roman" w:cs="Times New Roman"/>
          <w:color w:val="000000"/>
          <w:sz w:val="18"/>
          <w:szCs w:val="18"/>
          <w:lang w:val="en-GB" w:eastAsia="en-GB"/>
        </w:rPr>
        <w:t xml:space="preserve">. in </w:t>
      </w:r>
      <w:r w:rsidRPr="00AE70C0">
        <w:rPr>
          <w:rFonts w:eastAsia="Times New Roman" w:cs="Times New Roman"/>
          <w:i/>
          <w:iCs/>
          <w:color w:val="000000"/>
          <w:sz w:val="18"/>
          <w:szCs w:val="18"/>
          <w:lang w:val="en-GB" w:eastAsia="en-GB"/>
        </w:rPr>
        <w:t>European Educational Research Journal</w:t>
      </w:r>
      <w:r>
        <w:rPr>
          <w:rFonts w:eastAsia="Times New Roman" w:cs="Times New Roman"/>
          <w:color w:val="000000"/>
          <w:sz w:val="18"/>
          <w:szCs w:val="18"/>
          <w:lang w:val="en-GB" w:eastAsia="en-GB"/>
        </w:rPr>
        <w:t xml:space="preserve">, </w:t>
      </w:r>
      <w:r w:rsidRPr="00B71B33">
        <w:rPr>
          <w:rFonts w:eastAsia="Times New Roman" w:cs="Times New Roman"/>
          <w:i/>
          <w:color w:val="000000"/>
          <w:sz w:val="18"/>
          <w:szCs w:val="18"/>
          <w:lang w:val="en-GB" w:eastAsia="en-GB"/>
        </w:rPr>
        <w:t>18</w:t>
      </w:r>
      <w:r>
        <w:rPr>
          <w:rFonts w:eastAsia="Times New Roman" w:cs="Times New Roman"/>
          <w:color w:val="000000"/>
          <w:sz w:val="18"/>
          <w:szCs w:val="18"/>
          <w:lang w:val="en-GB" w:eastAsia="en-GB"/>
        </w:rPr>
        <w:t>(2), 135-157.</w:t>
      </w:r>
    </w:p>
    <w:p w14:paraId="029D3FB7" w14:textId="4EC9A299" w:rsidR="00714BE9" w:rsidRPr="00483FF8" w:rsidRDefault="00483FF8" w:rsidP="00483FF8">
      <w:pPr>
        <w:pStyle w:val="ListParagraph"/>
        <w:numPr>
          <w:ilvl w:val="0"/>
          <w:numId w:val="3"/>
        </w:numPr>
        <w:tabs>
          <w:tab w:val="left" w:pos="384"/>
        </w:tabs>
        <w:spacing w:line="216" w:lineRule="exact"/>
        <w:ind w:right="137"/>
        <w:rPr>
          <w:sz w:val="18"/>
          <w:szCs w:val="18"/>
        </w:rPr>
      </w:pPr>
      <w:r w:rsidRPr="00483FF8">
        <w:rPr>
          <w:sz w:val="18"/>
          <w:szCs w:val="18"/>
        </w:rPr>
        <w:t xml:space="preserve">Wihlborg, M &amp; Robson, S., (2019). Internationalization of higher education: Impacts, challenges and future possibilities. Special Issue Guest editors in, </w:t>
      </w:r>
      <w:r w:rsidRPr="00483FF8">
        <w:rPr>
          <w:i/>
          <w:sz w:val="18"/>
          <w:szCs w:val="18"/>
        </w:rPr>
        <w:t>Europea</w:t>
      </w:r>
      <w:r>
        <w:rPr>
          <w:i/>
          <w:sz w:val="18"/>
          <w:szCs w:val="18"/>
        </w:rPr>
        <w:t>n Journal of Higher Education, 18</w:t>
      </w:r>
      <w:r w:rsidRPr="00483FF8">
        <w:rPr>
          <w:sz w:val="18"/>
          <w:szCs w:val="18"/>
        </w:rPr>
        <w:t>(2), 127-134.</w:t>
      </w:r>
    </w:p>
    <w:p w14:paraId="69B12AE0" w14:textId="50D590FC" w:rsidR="00714BE9" w:rsidRPr="00714BE9" w:rsidRDefault="00714BE9" w:rsidP="00714BE9">
      <w:pPr>
        <w:pStyle w:val="ListParagraph"/>
        <w:numPr>
          <w:ilvl w:val="0"/>
          <w:numId w:val="3"/>
        </w:numPr>
        <w:tabs>
          <w:tab w:val="left" w:pos="384"/>
        </w:tabs>
        <w:spacing w:line="216" w:lineRule="exact"/>
        <w:ind w:right="138" w:hanging="283"/>
        <w:rPr>
          <w:sz w:val="18"/>
        </w:rPr>
      </w:pPr>
      <w:r w:rsidRPr="00714BE9">
        <w:rPr>
          <w:rFonts w:asciiTheme="minorHAnsi" w:eastAsia="Times New Roman" w:hAnsiTheme="minorHAnsi" w:cs="Tahoma"/>
          <w:color w:val="000000"/>
          <w:sz w:val="18"/>
          <w:szCs w:val="18"/>
          <w:shd w:val="clear" w:color="auto" w:fill="FFFFFF"/>
          <w:lang w:val="en-GB" w:eastAsia="en-GB"/>
        </w:rPr>
        <w:t>Wihlborg, M and Robson, S (2018)</w:t>
      </w:r>
      <w:r>
        <w:rPr>
          <w:rFonts w:asciiTheme="minorHAnsi" w:eastAsia="Times New Roman" w:hAnsiTheme="minorHAnsi" w:cs="Tahoma"/>
          <w:color w:val="000000"/>
          <w:sz w:val="18"/>
          <w:szCs w:val="18"/>
          <w:shd w:val="clear" w:color="auto" w:fill="FFFFFF"/>
          <w:lang w:val="en-GB" w:eastAsia="en-GB"/>
        </w:rPr>
        <w:t>.</w:t>
      </w:r>
      <w:r w:rsidRPr="00714BE9">
        <w:rPr>
          <w:rFonts w:asciiTheme="minorHAnsi" w:eastAsia="Times New Roman" w:hAnsiTheme="minorHAnsi" w:cs="Tahoma"/>
          <w:color w:val="000000"/>
          <w:sz w:val="18"/>
          <w:szCs w:val="18"/>
          <w:shd w:val="clear" w:color="auto" w:fill="FFFFFF"/>
          <w:lang w:val="en-GB" w:eastAsia="en-GB"/>
        </w:rPr>
        <w:t xml:space="preserve"> </w:t>
      </w:r>
      <w:r w:rsidR="00683824">
        <w:rPr>
          <w:rFonts w:asciiTheme="minorHAnsi" w:eastAsia="Times New Roman" w:hAnsiTheme="minorHAnsi" w:cs="Tahoma"/>
          <w:color w:val="000000"/>
          <w:sz w:val="18"/>
          <w:szCs w:val="18"/>
          <w:shd w:val="clear" w:color="auto" w:fill="FFFFFF"/>
          <w:lang w:val="en-GB" w:eastAsia="en-GB"/>
        </w:rPr>
        <w:t>Introduction to s</w:t>
      </w:r>
      <w:r w:rsidRPr="00714BE9">
        <w:rPr>
          <w:rFonts w:asciiTheme="minorHAnsi" w:eastAsia="Times New Roman" w:hAnsiTheme="minorHAnsi" w:cs="Tahoma"/>
          <w:color w:val="000000"/>
          <w:sz w:val="18"/>
          <w:szCs w:val="18"/>
          <w:shd w:val="clear" w:color="auto" w:fill="FFFFFF"/>
          <w:lang w:val="en-GB" w:eastAsia="en-GB"/>
        </w:rPr>
        <w:t xml:space="preserve">pecial Issue, guest editors: </w:t>
      </w:r>
      <w:r>
        <w:rPr>
          <w:rFonts w:asciiTheme="minorHAnsi" w:eastAsia="Times New Roman" w:hAnsiTheme="minorHAnsi" w:cs="Tahoma"/>
          <w:color w:val="000000"/>
          <w:sz w:val="18"/>
          <w:szCs w:val="18"/>
          <w:shd w:val="clear" w:color="auto" w:fill="FFFFFF"/>
          <w:lang w:val="en-GB" w:eastAsia="en-GB"/>
        </w:rPr>
        <w:t xml:space="preserve"> </w:t>
      </w:r>
      <w:r w:rsidRPr="00714BE9">
        <w:rPr>
          <w:rFonts w:asciiTheme="minorHAnsi" w:eastAsia="Times New Roman" w:hAnsiTheme="minorHAnsi" w:cs="Tahoma"/>
          <w:color w:val="000000"/>
          <w:sz w:val="18"/>
          <w:szCs w:val="18"/>
          <w:shd w:val="clear" w:color="auto" w:fill="FFFFFF"/>
          <w:lang w:val="en-GB" w:eastAsia="en-GB"/>
        </w:rPr>
        <w:t xml:space="preserve"> </w:t>
      </w:r>
      <w:r w:rsidRPr="00683824">
        <w:rPr>
          <w:rFonts w:asciiTheme="minorHAnsi" w:eastAsia="Times New Roman" w:hAnsiTheme="minorHAnsi" w:cs="Tahoma"/>
          <w:iCs/>
          <w:color w:val="000000"/>
          <w:sz w:val="18"/>
          <w:szCs w:val="18"/>
          <w:shd w:val="clear" w:color="auto" w:fill="FFFFFF"/>
          <w:lang w:val="en-GB" w:eastAsia="en-GB"/>
        </w:rPr>
        <w:t>Internationalisation of higher education - drivers, rationales, priorities, values and impacts.</w:t>
      </w:r>
      <w:r w:rsidRPr="00714BE9">
        <w:rPr>
          <w:rFonts w:asciiTheme="minorHAnsi" w:eastAsia="Times New Roman" w:hAnsiTheme="minorHAnsi" w:cs="Tahoma"/>
          <w:i/>
          <w:iCs/>
          <w:color w:val="000000"/>
          <w:sz w:val="18"/>
          <w:szCs w:val="18"/>
          <w:shd w:val="clear" w:color="auto" w:fill="FFFFFF"/>
          <w:lang w:val="en-GB" w:eastAsia="en-GB"/>
        </w:rPr>
        <w:t xml:space="preserve"> </w:t>
      </w:r>
      <w:r w:rsidR="00683824">
        <w:rPr>
          <w:rFonts w:asciiTheme="minorHAnsi" w:eastAsia="Times New Roman" w:hAnsiTheme="minorHAnsi" w:cs="Tahoma"/>
          <w:i/>
          <w:iCs/>
          <w:color w:val="000000"/>
          <w:sz w:val="18"/>
          <w:szCs w:val="18"/>
          <w:shd w:val="clear" w:color="auto" w:fill="FFFFFF"/>
          <w:lang w:val="en-GB" w:eastAsia="en-GB"/>
        </w:rPr>
        <w:t>European Journal of Higher Education. 8</w:t>
      </w:r>
      <w:r w:rsidR="00683824" w:rsidRPr="00683824">
        <w:rPr>
          <w:rFonts w:asciiTheme="minorHAnsi" w:eastAsia="Times New Roman" w:hAnsiTheme="minorHAnsi" w:cs="Tahoma"/>
          <w:iCs/>
          <w:color w:val="000000"/>
          <w:sz w:val="18"/>
          <w:szCs w:val="18"/>
          <w:shd w:val="clear" w:color="auto" w:fill="FFFFFF"/>
          <w:lang w:val="en-GB" w:eastAsia="en-GB"/>
        </w:rPr>
        <w:t>(1), 8-18</w:t>
      </w:r>
      <w:r w:rsidR="00683824">
        <w:rPr>
          <w:rFonts w:asciiTheme="minorHAnsi" w:eastAsia="Times New Roman" w:hAnsiTheme="minorHAnsi" w:cs="Tahoma"/>
          <w:iCs/>
          <w:color w:val="000000"/>
          <w:sz w:val="18"/>
          <w:szCs w:val="18"/>
          <w:shd w:val="clear" w:color="auto" w:fill="FFFFFF"/>
          <w:lang w:val="en-GB" w:eastAsia="en-GB"/>
        </w:rPr>
        <w:t>.</w:t>
      </w:r>
    </w:p>
    <w:p w14:paraId="5406A53A" w14:textId="3A2BDCDD" w:rsidR="00AE3E37" w:rsidRPr="000922FF" w:rsidRDefault="000922FF" w:rsidP="000922FF">
      <w:pPr>
        <w:pStyle w:val="ListParagraph"/>
        <w:numPr>
          <w:ilvl w:val="0"/>
          <w:numId w:val="3"/>
        </w:numPr>
        <w:tabs>
          <w:tab w:val="left" w:pos="384"/>
        </w:tabs>
        <w:spacing w:before="92" w:line="218" w:lineRule="exact"/>
        <w:ind w:right="117" w:hanging="283"/>
        <w:rPr>
          <w:sz w:val="18"/>
          <w:szCs w:val="18"/>
          <w:lang w:val="en-GB"/>
        </w:rPr>
      </w:pPr>
      <w:r w:rsidRPr="000922FF">
        <w:rPr>
          <w:sz w:val="18"/>
          <w:szCs w:val="18"/>
          <w:lang w:val="en-GB"/>
        </w:rPr>
        <w:t>Wihlborg M, Friberg E, Rose K and Eastham L (2017) Facilitating learning through an international virtual</w:t>
      </w:r>
      <w:r>
        <w:rPr>
          <w:sz w:val="18"/>
          <w:szCs w:val="18"/>
          <w:lang w:val="en-GB"/>
        </w:rPr>
        <w:t xml:space="preserve"> </w:t>
      </w:r>
      <w:r w:rsidRPr="000922FF">
        <w:rPr>
          <w:sz w:val="18"/>
          <w:szCs w:val="18"/>
          <w:lang w:val="en-GB"/>
        </w:rPr>
        <w:t xml:space="preserve">collaborative practice: A case study. </w:t>
      </w:r>
      <w:r w:rsidRPr="000922FF">
        <w:rPr>
          <w:i/>
          <w:iCs/>
          <w:sz w:val="18"/>
          <w:szCs w:val="18"/>
          <w:lang w:val="en-GB"/>
        </w:rPr>
        <w:t xml:space="preserve">Nurse Education Today </w:t>
      </w:r>
      <w:r>
        <w:rPr>
          <w:sz w:val="18"/>
          <w:szCs w:val="18"/>
          <w:lang w:val="en-GB"/>
        </w:rPr>
        <w:t>61,</w:t>
      </w:r>
      <w:r w:rsidRPr="000922FF">
        <w:rPr>
          <w:sz w:val="18"/>
          <w:szCs w:val="18"/>
          <w:lang w:val="en-GB"/>
        </w:rPr>
        <w:t xml:space="preserve"> 3</w:t>
      </w:r>
      <w:r w:rsidRPr="000922FF">
        <w:rPr>
          <w:rFonts w:hint="eastAsia"/>
          <w:sz w:val="18"/>
          <w:szCs w:val="18"/>
          <w:lang w:val="en-GB"/>
        </w:rPr>
        <w:t>–</w:t>
      </w:r>
      <w:r w:rsidRPr="000922FF">
        <w:rPr>
          <w:sz w:val="18"/>
          <w:szCs w:val="18"/>
          <w:lang w:val="en-GB"/>
        </w:rPr>
        <w:t>8.</w:t>
      </w:r>
    </w:p>
    <w:p w14:paraId="1DFD771E"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749262CF" w14:textId="77777777" w:rsidR="00AE3E37" w:rsidRDefault="00292ED9">
      <w:pPr>
        <w:pStyle w:val="BodyText"/>
        <w:spacing w:line="40" w:lineRule="exact"/>
        <w:ind w:left="2202"/>
        <w:rPr>
          <w:rFonts w:ascii="Calibri"/>
          <w:sz w:val="4"/>
        </w:rPr>
      </w:pPr>
      <w:r>
        <w:rPr>
          <w:rFonts w:ascii="Calibri"/>
          <w:noProof/>
          <w:sz w:val="4"/>
          <w:lang w:val="en-GB" w:eastAsia="en-GB"/>
        </w:rPr>
        <mc:AlternateContent>
          <mc:Choice Requires="wpg">
            <w:drawing>
              <wp:inline distT="0" distB="0" distL="0" distR="0" wp14:anchorId="2C7FBF03" wp14:editId="3BCFACC8">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2A0369ED"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TTUBwIAAGkEAAAOAAAAZHJzL2Uyb0RvYy54bWyklM2O2yAQx++V+g6Ie2PHm2S3Vpw97Ecu&#10;aRtptw8wAWyjYkBA4uTtO2Bnsx+HStsLYhiYmf9vxl7eHjtFDsJ5aXRFp5OcEqGZ4VI3Ff39/Pjt&#10;hhIfQHNQRouKnoSnt6uvX5a9LUVhWqO4cASDaF/2tqJtCLbMMs9a0YGfGCs0OmvjOghouibjDnqM&#10;3qmsyPNF1hvHrTNMeI+n94OTrlL8uhYs/KprLwJRFcXaQlpdWndxzVZLKBsHtpVsLAM+UUUHUmPS&#10;l1D3EIDsnfwQqpPMGW/qMGGmy0xdSyaSBlQzzd+pWTuzt0lLU/aNfcGEaN9x+nRY9vOwdvbJbt1Q&#10;PW43hv3xyCXrbVO+9ke7GS6TXf/DcOwn7INJwo+162IIlESOie/pha84BsLw8Or79fz6ak4JQ18x&#10;n+Ujf9Zikz68Yu3D+G5RLKbDo1l6kUE5pEsljiXFluMM+Qsm/3+YnlqwItH3EcPWEclxxLF8DR1K&#10;30gtyDxOUEyMN+701o2WR6D/ZFTgQEYQI4UzpUVRjGrfioXSOh/WwnQkbiqqsIDEHg4bH2LHLldi&#10;K7R5lErhOZRKk/6MPNreKMmjNxmu2d0pRw4QP5J8lt+cE7+5hsOoeYrWCuAP4z6AVMMesyudxsaX&#10;Uf/AZWf4KWHBXqX2jIOF85wKHr+9+MG8ttOtyx9i9RcAAP//AwBQSwMEFAAGAAgAAAAhANJJbznb&#10;AAAAAwEAAA8AAABkcnMvZG93bnJldi54bWxMj0FrwkAQhe+F/odlCr3VTWwbSsxGRLQnKVSF4m3M&#10;jkkwOxuyaxL/fbe96GXg8R7vfZPNR9OInjpXW1YQTyIQxIXVNZcK9rv1ywcI55E1NpZJwZUczPPH&#10;hwxTbQf+pn7rSxFK2KWooPK+TaV0RUUG3cS2xME72c6gD7Irpe5wCOWmkdMoSqTBmsNChS0tKyrO&#10;24tR8DngsHiNV/3mfFpeD7v3r59NTEo9P42LGQhPo7+F4Q8/oEMemI72wtqJRkF4xP/f4CXTJAZx&#10;VPAWgcwzec+e/wIAAP//AwBQSwECLQAUAAYACAAAACEAtoM4kv4AAADhAQAAEwAAAAAAAAAAAAAA&#10;AAAAAAAAW0NvbnRlbnRfVHlwZXNdLnhtbFBLAQItABQABgAIAAAAIQA4/SH/1gAAAJQBAAALAAAA&#10;AAAAAAAAAAAAAC8BAABfcmVscy8ucmVsc1BLAQItABQABgAIAAAAIQCu1TTUBwIAAGkEAAAOAAAA&#10;AAAAAAAAAAAAAC4CAABkcnMvZTJvRG9jLnhtbFBLAQItABQABgAIAAAAIQDSSW852wAAAAMBAAAP&#10;AAAAAAAAAAAAAAAAAGEEAABkcnMvZG93bnJldi54bWxQSwUGAAAAAAQABADzAAAAaQ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2EE5A22D" w14:textId="4262A46A" w:rsidR="00AE3E37" w:rsidRPr="00381FAC" w:rsidRDefault="008756E6" w:rsidP="00381FAC">
      <w:r>
        <w:rPr>
          <w:noProof/>
        </w:rPr>
        <w:t xml:space="preserve">              </w:t>
      </w:r>
      <w:r w:rsidR="00381FAC" w:rsidRPr="00743B30">
        <w:t>MONNE WIHLBOR</w:t>
      </w:r>
      <w:r w:rsidR="00381FAC">
        <w:t>G, Associated professor</w:t>
      </w:r>
      <w:r w:rsidR="00381FAC" w:rsidRPr="00743B30">
        <w:t xml:space="preserve"> in Education, MSc in Philosophy, </w:t>
      </w:r>
      <w:r w:rsidR="00381FAC">
        <w:t xml:space="preserve">senior lecture in Health Sciences; </w:t>
      </w:r>
      <w:r w:rsidR="00381FAC" w:rsidRPr="00743B30">
        <w:t>RNI, RN; wo</w:t>
      </w:r>
      <w:r w:rsidR="00381FAC">
        <w:t xml:space="preserve">rking as an associate professor </w:t>
      </w:r>
      <w:r w:rsidR="00381FAC" w:rsidRPr="00743B30">
        <w:t>at the Faculty of Medicine, institution of Health Sciences at Lund University in Sweden. I have been a teacher in higher education contexts since 30 years and have an integr</w:t>
      </w:r>
      <w:r w:rsidR="00381FAC">
        <w:t xml:space="preserve">ative background, from </w:t>
      </w:r>
      <w:r w:rsidR="00381FAC" w:rsidRPr="00743B30">
        <w:t xml:space="preserve">the faculty of Humanities at the department of philosophy and the department of cognitive science and </w:t>
      </w:r>
      <w:r w:rsidR="00381FAC">
        <w:t>artificial</w:t>
      </w:r>
      <w:r w:rsidR="00381FAC" w:rsidRPr="00743B30">
        <w:t xml:space="preserve"> intelligence</w:t>
      </w:r>
      <w:r w:rsidR="00381FAC">
        <w:t xml:space="preserve"> and from the Faculty of Social Sciences and department of pedagogic, I am a</w:t>
      </w:r>
      <w:r w:rsidR="00381FAC" w:rsidRPr="00743B30">
        <w:t xml:space="preserve"> lifelong member of the Oxford Round Table</w:t>
      </w:r>
      <w:r w:rsidR="00381FAC">
        <w:t>, h</w:t>
      </w:r>
      <w:r w:rsidR="00381FAC" w:rsidRPr="00743B30">
        <w:t>old a membership in the PESGB (Philosophy of Education Society of Great Britain) and PES (Philosophy of Education Society, Florida State University, US.).</w:t>
      </w:r>
    </w:p>
    <w:p w14:paraId="0FD40DB4" w14:textId="418BBBD8" w:rsidR="00AE3E37" w:rsidRDefault="00381FAC">
      <w:pPr>
        <w:spacing w:before="62"/>
        <w:ind w:left="4217" w:right="4235"/>
        <w:jc w:val="center"/>
        <w:rPr>
          <w:rFonts w:ascii="Arial"/>
          <w:sz w:val="14"/>
        </w:rPr>
      </w:pPr>
      <w:r>
        <w:rPr>
          <w:rFonts w:ascii="Arial"/>
          <w:sz w:val="14"/>
        </w:rPr>
        <w:t xml:space="preserve">Email: </w:t>
      </w:r>
      <w:r w:rsidR="003B3092" w:rsidRPr="003B3092">
        <w:rPr>
          <w:sz w:val="18"/>
          <w:szCs w:val="18"/>
        </w:rPr>
        <w:t>Monne.Wihlborg@med.lu.se</w:t>
      </w:r>
    </w:p>
    <w:p w14:paraId="551E681D" w14:textId="77777777" w:rsidR="00AE3E37" w:rsidRDefault="00292ED9">
      <w:pPr>
        <w:pStyle w:val="BodyText"/>
        <w:spacing w:before="2"/>
        <w:rPr>
          <w:rFonts w:ascii="Arial"/>
          <w:sz w:val="19"/>
        </w:rPr>
      </w:pPr>
      <w:r>
        <w:rPr>
          <w:noProof/>
          <w:lang w:val="en-GB" w:eastAsia="en-GB"/>
        </w:rPr>
        <mc:AlternateContent>
          <mc:Choice Requires="wps">
            <w:drawing>
              <wp:anchor distT="0" distB="0" distL="0" distR="0" simplePos="0" relativeHeight="1072" behindDoc="0" locked="0" layoutInCell="1" allowOverlap="1" wp14:anchorId="615272BB" wp14:editId="33085CA8">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7A6C7115"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Gh3sQEAAEgDAAAOAAAAZHJzL2Uyb0RvYy54bWysU8lu2zAQvRfoPxC815KXBAFhOQen6SVt&#10;DST9gDFJSUQpDsGhLfnvSzK2u+QW9ELM+vTmzWh9Pw2WHXUgg67h81nNmXYSlXFdw3+8PH6644wi&#10;OAUWnW74SRO/33z8sB690Avs0SodWAJxJEbf8D5GL6qKZK8HoBl67VKyxTBATG7oKhVgTOiDrRZ1&#10;fVuNGJQPKDVRij68Jvmm4LetlvF725KOzDY8cYvlDeXd57farEF0AXxv5JkGvIPFAMalj16hHiAC&#10;OwTzBmowMiBhG2cShwrb1khdZkjTzOt/pnnuwesySxKH/FUm+n+w8ttx63YhU5eTe/ZPKH8Sc7jt&#10;wXW6EHg5+bS4eZaqGj2Ja0t2yO8C249fUaUaOEQsKkxtGDJkmo9NRezTVWw9RSZTcLlaLZbLG87k&#10;JVeBuDT6QPGLxoFlo+HWuKwDCDg+UcxEQFxKctjho7G27NI6Njb8dnlTlwZCa1RO5jIK3X5rAztC&#10;voZ6Vd+VA0hgf5UFPDhVwHoN6vPZjmDsq53qrTuLkefPx0Zij+q0CxeR0roKy/Np5Xv40y/dv3+A&#10;zS8AAAD//wMAUEsDBBQABgAIAAAAIQAvhu4H3QAAAAkBAAAPAAAAZHJzL2Rvd25yZXYueG1sTI/B&#10;TsMwDIbvSLxDZCQuiKWktOpK0wkh4MIBbfAAbuO1FY1TNdlW3p4gDuxo+9Pv7682ix3FkWY/ONZw&#10;t0pAELfODNxp+Px4uS1A+IBscHRMGr7Jw6a+vKiwNO7EWzruQidiCPsSNfQhTKWUvu3Jol+5iTje&#10;9m62GOI4d9LMeIrhdpQqSXJpceD4oceJnnpqv3YHq+FtRK8W9dxk25shLbJ3u3b4qvX11fL4ACLQ&#10;Ev5h+NWP6lBHp8Yd2HgxakjVvYqoBpVnICJQ5HkKovlbyLqS5w3qHwAAAP//AwBQSwECLQAUAAYA&#10;CAAAACEAtoM4kv4AAADhAQAAEwAAAAAAAAAAAAAAAAAAAAAAW0NvbnRlbnRfVHlwZXNdLnhtbFBL&#10;AQItABQABgAIAAAAIQA4/SH/1gAAAJQBAAALAAAAAAAAAAAAAAAAAC8BAABfcmVscy8ucmVsc1BL&#10;AQItABQABgAIAAAAIQDM0Gh3sQEAAEgDAAAOAAAAAAAAAAAAAAAAAC4CAABkcnMvZTJvRG9jLnht&#10;bFBLAQItABQABgAIAAAAIQAvhu4H3QAAAAkBAAAPAAAAAAAAAAAAAAAAAAsEAABkcnMvZG93bnJl&#10;di54bWxQSwUGAAAAAAQABADzAAAAFQUAAAAA&#10;" strokecolor="#004080" strokeweight=".5pt">
                <w10:wrap type="topAndBottom" anchorx="page"/>
              </v:line>
            </w:pict>
          </mc:Fallback>
        </mc:AlternateContent>
      </w:r>
    </w:p>
    <w:p w14:paraId="0A8D0372" w14:textId="77777777" w:rsidR="00AE3E37" w:rsidRDefault="00AE3E37">
      <w:pPr>
        <w:pStyle w:val="BodyText"/>
        <w:rPr>
          <w:rFonts w:ascii="Arial"/>
          <w:sz w:val="20"/>
        </w:rPr>
      </w:pPr>
    </w:p>
    <w:p w14:paraId="5EC9D6E6" w14:textId="77777777" w:rsidR="00AE3E37" w:rsidRDefault="00AE3E37">
      <w:pPr>
        <w:pStyle w:val="BodyText"/>
        <w:rPr>
          <w:rFonts w:ascii="Arial"/>
          <w:sz w:val="20"/>
        </w:rPr>
      </w:pPr>
    </w:p>
    <w:p w14:paraId="00460F06" w14:textId="77777777" w:rsidR="00AE3E37" w:rsidRDefault="00AE3E37">
      <w:pPr>
        <w:pStyle w:val="BodyText"/>
        <w:spacing w:before="7"/>
        <w:rPr>
          <w:rFonts w:ascii="Arial"/>
          <w:sz w:val="29"/>
        </w:rPr>
      </w:pPr>
    </w:p>
    <w:p w14:paraId="1ABB0803" w14:textId="77777777" w:rsidR="00AE3E37" w:rsidRPr="00B21A57" w:rsidRDefault="00A9710C">
      <w:pPr>
        <w:spacing w:before="39"/>
        <w:ind w:left="100"/>
        <w:rPr>
          <w:rFonts w:ascii="Minion Pro"/>
          <w:b/>
          <w:sz w:val="20"/>
        </w:rPr>
      </w:pPr>
      <w:r w:rsidRPr="00B21A57">
        <w:rPr>
          <w:rFonts w:ascii="Minion Pro"/>
          <w:b/>
          <w:sz w:val="20"/>
        </w:rPr>
        <w:t>Notes/Comments:</w:t>
      </w:r>
    </w:p>
    <w:p w14:paraId="142F22BA"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6F53EDF1"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6643DE4" w14:textId="77777777" w:rsidR="006A3BBB" w:rsidRDefault="006A3BBB">
      <w:r>
        <w:separator/>
      </w:r>
    </w:p>
  </w:endnote>
  <w:endnote w:type="continuationSeparator" w:id="0">
    <w:p w14:paraId="60B1F238" w14:textId="77777777" w:rsidR="006A3BBB" w:rsidRDefault="006A3B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PalatinoLinotype-Roman">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51DAEC" w14:textId="77777777" w:rsidR="00AE3E37" w:rsidRDefault="00292ED9">
    <w:pPr>
      <w:pStyle w:val="BodyText"/>
      <w:spacing w:line="14" w:lineRule="auto"/>
      <w:rPr>
        <w:sz w:val="20"/>
      </w:rPr>
    </w:pPr>
    <w:r>
      <w:rPr>
        <w:noProof/>
        <w:lang w:val="en-GB" w:eastAsia="en-GB"/>
      </w:rPr>
      <mc:AlternateContent>
        <mc:Choice Requires="wps">
          <w:drawing>
            <wp:anchor distT="0" distB="0" distL="114300" distR="114300" simplePos="0" relativeHeight="503311928" behindDoc="1" locked="0" layoutInCell="1" allowOverlap="1" wp14:anchorId="45C19769" wp14:editId="2EDA7375">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B94F66"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4427D73E"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5C19769"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14:paraId="34B94F66"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4427D73E"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311952" behindDoc="1" locked="0" layoutInCell="1" allowOverlap="1" wp14:anchorId="0D8C20F4" wp14:editId="53D8F520">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D400B6"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D2BF4BA"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8C20F4"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14:paraId="11D400B6"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D2BF4BA"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311976" behindDoc="1" locked="0" layoutInCell="1" allowOverlap="1" wp14:anchorId="4540A737" wp14:editId="5C5BB39C">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27DA53"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74EF7E63"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40A737"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14:paraId="5527DA53"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74EF7E63"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1C51C6C" w14:textId="77777777" w:rsidR="006A3BBB" w:rsidRDefault="006A3BBB">
      <w:r>
        <w:separator/>
      </w:r>
    </w:p>
  </w:footnote>
  <w:footnote w:type="continuationSeparator" w:id="0">
    <w:p w14:paraId="3FABFF3B" w14:textId="77777777" w:rsidR="006A3BBB" w:rsidRDefault="006A3B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573228" w14:textId="77777777" w:rsidR="00AE3E37" w:rsidRDefault="00292ED9">
    <w:pPr>
      <w:pStyle w:val="BodyText"/>
      <w:spacing w:line="14" w:lineRule="auto"/>
      <w:rPr>
        <w:sz w:val="20"/>
      </w:rPr>
    </w:pPr>
    <w:r>
      <w:rPr>
        <w:noProof/>
        <w:lang w:val="en-GB" w:eastAsia="en-GB"/>
      </w:rPr>
      <mc:AlternateContent>
        <mc:Choice Requires="wps">
          <w:drawing>
            <wp:anchor distT="0" distB="0" distL="114300" distR="114300" simplePos="0" relativeHeight="503311880" behindDoc="1" locked="0" layoutInCell="1" allowOverlap="1" wp14:anchorId="337CEA68" wp14:editId="5A396435">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063E37"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37CEA68"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14:paraId="45063E37"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GB" w:eastAsia="en-GB"/>
      </w:rPr>
      <mc:AlternateContent>
        <mc:Choice Requires="wps">
          <w:drawing>
            <wp:anchor distT="0" distB="0" distL="114300" distR="114300" simplePos="0" relativeHeight="503311904" behindDoc="1" locked="0" layoutInCell="1" allowOverlap="1" wp14:anchorId="66C62995" wp14:editId="5B361B49">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BE808B"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2456123D"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C62995"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14:paraId="21BE808B"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2456123D"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15:restartNumberingAfterBreak="0">
    <w:nsid w:val="74872DEB"/>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20"/>
  <w:hyphenationZone w:val="425"/>
  <w:drawingGridHorizontalSpacing w:val="110"/>
  <w:displayHorizontalDrawingGridEvery w:val="2"/>
  <w:characterSpacingControl w:val="doNotCompress"/>
  <w:hdrShapeDefaults>
    <o:shapedefaults v:ext="edit" spidmax="6145"/>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922FF"/>
    <w:rsid w:val="000940F8"/>
    <w:rsid w:val="000E2911"/>
    <w:rsid w:val="001263DF"/>
    <w:rsid w:val="001E763C"/>
    <w:rsid w:val="00292ED9"/>
    <w:rsid w:val="00314AFB"/>
    <w:rsid w:val="00381FAC"/>
    <w:rsid w:val="003B3092"/>
    <w:rsid w:val="003B76D9"/>
    <w:rsid w:val="00404E5B"/>
    <w:rsid w:val="00414F7B"/>
    <w:rsid w:val="004355DC"/>
    <w:rsid w:val="004749B4"/>
    <w:rsid w:val="00483FF8"/>
    <w:rsid w:val="00494130"/>
    <w:rsid w:val="004F3523"/>
    <w:rsid w:val="005973B9"/>
    <w:rsid w:val="005B3A56"/>
    <w:rsid w:val="006060CE"/>
    <w:rsid w:val="0063497F"/>
    <w:rsid w:val="00683824"/>
    <w:rsid w:val="006A3BBB"/>
    <w:rsid w:val="00714BE9"/>
    <w:rsid w:val="007431DF"/>
    <w:rsid w:val="0078738A"/>
    <w:rsid w:val="00873DF0"/>
    <w:rsid w:val="008756E6"/>
    <w:rsid w:val="009B2D44"/>
    <w:rsid w:val="00A07E82"/>
    <w:rsid w:val="00A9710C"/>
    <w:rsid w:val="00AE0422"/>
    <w:rsid w:val="00AE3E37"/>
    <w:rsid w:val="00AF327E"/>
    <w:rsid w:val="00B13CC5"/>
    <w:rsid w:val="00B21A57"/>
    <w:rsid w:val="00B71B33"/>
    <w:rsid w:val="00BC1FDB"/>
    <w:rsid w:val="00C33602"/>
    <w:rsid w:val="00CD6F55"/>
    <w:rsid w:val="00D62425"/>
    <w:rsid w:val="00DE3104"/>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72237AA7"/>
  <w15:docId w15:val="{D2F1D8E0-FBF2-4ED2-A8DB-810F92140F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14278855">
      <w:bodyDiv w:val="1"/>
      <w:marLeft w:val="0"/>
      <w:marRight w:val="0"/>
      <w:marTop w:val="0"/>
      <w:marBottom w:val="0"/>
      <w:divBdr>
        <w:top w:val="none" w:sz="0" w:space="0" w:color="auto"/>
        <w:left w:val="none" w:sz="0" w:space="0" w:color="auto"/>
        <w:bottom w:val="none" w:sz="0" w:space="0" w:color="auto"/>
        <w:right w:val="none" w:sz="0" w:space="0" w:color="auto"/>
      </w:divBdr>
      <w:divsChild>
        <w:div w:id="1660231507">
          <w:marLeft w:val="0"/>
          <w:marRight w:val="0"/>
          <w:marTop w:val="0"/>
          <w:marBottom w:val="0"/>
          <w:divBdr>
            <w:top w:val="none" w:sz="0" w:space="0" w:color="auto"/>
            <w:left w:val="none" w:sz="0" w:space="0" w:color="auto"/>
            <w:bottom w:val="none" w:sz="0" w:space="0" w:color="auto"/>
            <w:right w:val="none" w:sz="0" w:space="0" w:color="auto"/>
          </w:divBdr>
        </w:div>
      </w:divsChild>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620</Words>
  <Characters>3539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Monne Wihlborg</cp:lastModifiedBy>
  <cp:revision>2</cp:revision>
  <dcterms:created xsi:type="dcterms:W3CDTF">2022-03-12T12:51:00Z</dcterms:created>
  <dcterms:modified xsi:type="dcterms:W3CDTF">2022-03-12T12:51:00Z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