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99EDA" w14:textId="440BA5A3" w:rsidR="00AE3E37" w:rsidRDefault="00404233" w:rsidP="00494130">
      <w:pPr>
        <w:pStyle w:val="Heading1"/>
        <w:spacing w:before="170"/>
        <w:ind w:left="0"/>
      </w:pPr>
      <w:r w:rsidRPr="00404233">
        <w:rPr>
          <w:color w:val="337AB7"/>
        </w:rPr>
        <w:t>Ivermectin Use in COVID-19 Prophylaxis</w:t>
      </w:r>
    </w:p>
    <w:p w14:paraId="4E4FDE12" w14:textId="30AE85FF" w:rsidR="0078738A" w:rsidRDefault="00404233" w:rsidP="00404233">
      <w:pPr>
        <w:pStyle w:val="BodyText"/>
        <w:spacing w:before="73" w:line="198" w:lineRule="exact"/>
        <w:ind w:left="100" w:right="430"/>
        <w:rPr>
          <w:rFonts w:ascii="Arial"/>
        </w:rPr>
      </w:pPr>
      <w:r>
        <w:rPr>
          <w:rFonts w:ascii="Arial"/>
        </w:rPr>
        <w:t>Prof. Abdelmonem Awad Hegazy</w:t>
      </w:r>
      <w:r w:rsidR="005973B9">
        <w:rPr>
          <w:rFonts w:ascii="Arial"/>
        </w:rPr>
        <w:t xml:space="preserve">, </w:t>
      </w:r>
      <w:r>
        <w:rPr>
          <w:rFonts w:ascii="Arial"/>
        </w:rPr>
        <w:t>MB; BCH; DOG; MSc;</w:t>
      </w:r>
      <w:r w:rsidR="005973B9">
        <w:rPr>
          <w:rFonts w:ascii="Arial"/>
        </w:rPr>
        <w:t xml:space="preserve"> PhD,</w:t>
      </w:r>
      <w:r>
        <w:rPr>
          <w:rFonts w:ascii="Arial"/>
        </w:rPr>
        <w:t xml:space="preserve"> MD,</w:t>
      </w:r>
      <w:r w:rsidR="005973B9">
        <w:rPr>
          <w:rFonts w:ascii="Arial"/>
        </w:rPr>
        <w:t xml:space="preserve"> </w:t>
      </w:r>
      <w:r>
        <w:rPr>
          <w:rFonts w:ascii="Arial"/>
        </w:rPr>
        <w:t xml:space="preserve">Zagazig University &amp; </w:t>
      </w:r>
      <w:proofErr w:type="spellStart"/>
      <w:r>
        <w:rPr>
          <w:rFonts w:ascii="Arial"/>
        </w:rPr>
        <w:t>Misr</w:t>
      </w:r>
      <w:proofErr w:type="spellEnd"/>
      <w:r>
        <w:rPr>
          <w:rFonts w:ascii="Arial"/>
        </w:rPr>
        <w:t xml:space="preserve"> University (MUST)</w:t>
      </w:r>
      <w:r w:rsidR="005973B9">
        <w:rPr>
          <w:rFonts w:ascii="Arial"/>
        </w:rPr>
        <w:t xml:space="preserve">, </w:t>
      </w:r>
      <w:r>
        <w:rPr>
          <w:rFonts w:ascii="Arial"/>
        </w:rPr>
        <w:t>Egypt</w:t>
      </w:r>
      <w:r w:rsidR="005973B9">
        <w:rPr>
          <w:rFonts w:ascii="Arial"/>
        </w:rPr>
        <w:t xml:space="preserve"> </w:t>
      </w:r>
    </w:p>
    <w:p w14:paraId="563B2CDB" w14:textId="77777777" w:rsidR="00AE3E37" w:rsidRDefault="00AE3E37">
      <w:pPr>
        <w:pStyle w:val="BodyText"/>
        <w:rPr>
          <w:rFonts w:ascii="Arial"/>
          <w:sz w:val="20"/>
        </w:rPr>
      </w:pPr>
    </w:p>
    <w:p w14:paraId="3734A7B3" w14:textId="77777777" w:rsidR="00AE3E37" w:rsidRDefault="00AE3E37">
      <w:pPr>
        <w:pStyle w:val="BodyText"/>
        <w:spacing w:before="3"/>
        <w:rPr>
          <w:rFonts w:ascii="Arial"/>
          <w:sz w:val="21"/>
        </w:rPr>
      </w:pPr>
    </w:p>
    <w:p w14:paraId="7A12453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9F5F186" w14:textId="77777777" w:rsidR="00AE3E37" w:rsidRDefault="00A9710C">
      <w:pPr>
        <w:pStyle w:val="Heading3"/>
        <w:spacing w:before="147"/>
        <w:jc w:val="both"/>
      </w:pPr>
      <w:r>
        <w:rPr>
          <w:color w:val="BF5A14"/>
        </w:rPr>
        <w:t>Abstract</w:t>
      </w:r>
      <w:r w:rsidR="00404E5B">
        <w:rPr>
          <w:color w:val="BF5A14"/>
        </w:rPr>
        <w:t xml:space="preserve"> (300 word limit)</w:t>
      </w:r>
    </w:p>
    <w:p w14:paraId="5B3F717A" w14:textId="08593E78" w:rsidR="00AE3E37" w:rsidRDefault="00404233">
      <w:pPr>
        <w:pStyle w:val="BodyText"/>
        <w:spacing w:before="90" w:line="280" w:lineRule="auto"/>
        <w:ind w:left="100"/>
        <w:jc w:val="both"/>
      </w:pPr>
      <w:r>
        <w:t>Ivermectin is a safe, non-expensive and available drug. It has been previously approved by US FDA as a well-tolerable safe drug used previously for treatment and even mass prophylaxis of several parasitic drugs. It has been investigated in the current pandemic and proved a high effectiveness</w:t>
      </w:r>
      <w:r w:rsidR="00FA0D49">
        <w:rPr>
          <w:rFonts w:hint="cs"/>
          <w:rtl/>
        </w:rPr>
        <w:t xml:space="preserve"> </w:t>
      </w:r>
      <w:r w:rsidR="00FA0D49">
        <w:t xml:space="preserve">for chemoprophylaxis against </w:t>
      </w:r>
      <w:r w:rsidR="00FA0D49" w:rsidRPr="00404233">
        <w:t>SARS-CoV-2</w:t>
      </w:r>
      <w:r w:rsidR="00FA0D49">
        <w:t xml:space="preserve">. </w:t>
      </w:r>
      <w:r>
        <w:t xml:space="preserve"> </w:t>
      </w:r>
      <w:r w:rsidRPr="00404233">
        <w:t>U</w:t>
      </w:r>
      <w:r w:rsidRPr="00404233">
        <w:t>se</w:t>
      </w:r>
      <w:r>
        <w:t xml:space="preserve"> </w:t>
      </w:r>
      <w:r w:rsidRPr="00404233">
        <w:t>of ivermectin can provide temporary protection that is not long-term immunity as occurs with a vaccine. Therefore, its use may be repeated. Ivermectin could be one of the hopes for ending the current dilemma of SARS-CoV-2 pandemic if used properly under medical supervision. It can be used for mass prophylaxis of the whole population at the same time especially for poor and middle-income countries that do not have the facilities to deliver good effective vaccines. Otherwise, it can be used as an emergency in case of exposure or contact with the patient and even used at the onset of infection. However, it may not be useful in treating severe cases because the virus can cause many organs to fail</w:t>
      </w:r>
      <w:r w:rsidR="00A9710C">
        <w:t>.</w:t>
      </w:r>
      <w:r w:rsidR="004F2ECF">
        <w:t xml:space="preserve"> </w:t>
      </w:r>
      <w:r w:rsidR="00734BDF" w:rsidRPr="00734BDF">
        <w:t>We recommend further studies to confirm the effectiveness of ivermectin in preventing COVID-19 rather than dismiss it on the basis of insufficient evidence</w:t>
      </w:r>
      <w:r w:rsidR="004F2ECF">
        <w:t>.</w:t>
      </w:r>
      <w:r w:rsidR="00734BDF">
        <w:t xml:space="preserve"> </w:t>
      </w:r>
      <w:r w:rsidR="00734BDF" w:rsidRPr="00734BDF">
        <w:t>Studying is very easy, does not take much time and does not cause economic or health burden</w:t>
      </w:r>
      <w:r w:rsidR="00734BDF">
        <w:t xml:space="preserve">. </w:t>
      </w:r>
      <w:r w:rsidR="00734BDF" w:rsidRPr="00734BDF">
        <w:t>This also does not require special equipment or abilities except for volunteers to join through the investigation</w:t>
      </w:r>
      <w:r w:rsidR="00734BDF">
        <w:t>.</w:t>
      </w:r>
      <w:r w:rsidR="004F2ECF">
        <w:t xml:space="preserve"> </w:t>
      </w:r>
    </w:p>
    <w:p w14:paraId="613D4BF3" w14:textId="1C1DD0BF" w:rsidR="00AE3E37" w:rsidRDefault="00A9710C" w:rsidP="00FA0D49">
      <w:pPr>
        <w:pStyle w:val="Heading3"/>
        <w:spacing w:before="74"/>
        <w:rPr>
          <w:b w:val="0"/>
          <w:sz w:val="16"/>
        </w:rPr>
      </w:pPr>
      <w:r>
        <w:rPr>
          <w:b w:val="0"/>
        </w:rPr>
        <w:br w:type="column"/>
      </w:r>
    </w:p>
    <w:p w14:paraId="07979208"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CC9EDD5" w14:textId="0A069710" w:rsidR="005973B9" w:rsidRDefault="00FA0D49" w:rsidP="005973B9">
      <w:pPr>
        <w:pStyle w:val="ListParagraph"/>
        <w:numPr>
          <w:ilvl w:val="0"/>
          <w:numId w:val="3"/>
        </w:numPr>
        <w:tabs>
          <w:tab w:val="left" w:pos="384"/>
        </w:tabs>
        <w:spacing w:before="103" w:line="216" w:lineRule="exact"/>
        <w:ind w:right="138" w:hanging="283"/>
        <w:rPr>
          <w:sz w:val="18"/>
        </w:rPr>
      </w:pPr>
      <w:r w:rsidRPr="00FA0D49">
        <w:rPr>
          <w:sz w:val="18"/>
        </w:rPr>
        <w:t>Hegazy AA, Hegazy RA. COVID-19: Virology, pathogenesis and potential therapeutics. Afro-Egyptian Journal of Infectious and Endemic Diseases. 2020 Jun 1;10(2):93-9.</w:t>
      </w:r>
    </w:p>
    <w:p w14:paraId="49B5F5AC" w14:textId="5A50094F" w:rsidR="005973B9" w:rsidRDefault="00FA0D49" w:rsidP="005973B9">
      <w:pPr>
        <w:pStyle w:val="ListParagraph"/>
        <w:numPr>
          <w:ilvl w:val="0"/>
          <w:numId w:val="3"/>
        </w:numPr>
        <w:tabs>
          <w:tab w:val="left" w:pos="384"/>
        </w:tabs>
        <w:spacing w:line="216" w:lineRule="exact"/>
        <w:ind w:right="137" w:hanging="283"/>
        <w:rPr>
          <w:sz w:val="18"/>
        </w:rPr>
      </w:pPr>
      <w:proofErr w:type="spellStart"/>
      <w:r w:rsidRPr="00FA0D49">
        <w:rPr>
          <w:sz w:val="18"/>
        </w:rPr>
        <w:t>Shouman</w:t>
      </w:r>
      <w:proofErr w:type="spellEnd"/>
      <w:r w:rsidRPr="00FA0D49">
        <w:rPr>
          <w:sz w:val="18"/>
        </w:rPr>
        <w:t xml:space="preserve"> WM, Hegazy AA, </w:t>
      </w:r>
      <w:proofErr w:type="spellStart"/>
      <w:r w:rsidRPr="00FA0D49">
        <w:rPr>
          <w:sz w:val="18"/>
        </w:rPr>
        <w:t>Nafae</w:t>
      </w:r>
      <w:proofErr w:type="spellEnd"/>
      <w:r w:rsidRPr="00FA0D49">
        <w:rPr>
          <w:sz w:val="18"/>
        </w:rPr>
        <w:t xml:space="preserve"> RM, Ragab MI, Samra SR, Ibrahim DA, Al-</w:t>
      </w:r>
      <w:proofErr w:type="spellStart"/>
      <w:r w:rsidRPr="00FA0D49">
        <w:rPr>
          <w:sz w:val="18"/>
        </w:rPr>
        <w:t>Mahrouky</w:t>
      </w:r>
      <w:proofErr w:type="spellEnd"/>
      <w:r w:rsidRPr="00FA0D49">
        <w:rPr>
          <w:sz w:val="18"/>
        </w:rPr>
        <w:t xml:space="preserve"> TH, </w:t>
      </w:r>
      <w:proofErr w:type="spellStart"/>
      <w:r w:rsidRPr="00FA0D49">
        <w:rPr>
          <w:sz w:val="18"/>
        </w:rPr>
        <w:t>Sileem</w:t>
      </w:r>
      <w:proofErr w:type="spellEnd"/>
      <w:r w:rsidRPr="00FA0D49">
        <w:rPr>
          <w:sz w:val="18"/>
        </w:rPr>
        <w:t xml:space="preserve"> AE. Use of Ivermectin as a Potential Chemoprophylaxis for COVID-19 in Egypt: A Randomized Clinical Trial. Journal of Clinical and Diagnostic Research. 2021 Feb 1;15(2): OC27-OC32</w:t>
      </w:r>
      <w:r w:rsidR="005973B9">
        <w:rPr>
          <w:sz w:val="18"/>
        </w:rPr>
        <w:t>.</w:t>
      </w:r>
    </w:p>
    <w:p w14:paraId="649E9389" w14:textId="4F3630BD" w:rsidR="005973B9" w:rsidRDefault="00FA0D49" w:rsidP="005973B9">
      <w:pPr>
        <w:pStyle w:val="ListParagraph"/>
        <w:numPr>
          <w:ilvl w:val="0"/>
          <w:numId w:val="3"/>
        </w:numPr>
        <w:tabs>
          <w:tab w:val="left" w:pos="384"/>
        </w:tabs>
        <w:spacing w:line="216" w:lineRule="exact"/>
        <w:ind w:right="138" w:hanging="283"/>
        <w:rPr>
          <w:sz w:val="18"/>
        </w:rPr>
      </w:pPr>
      <w:r w:rsidRPr="00FA0D49">
        <w:rPr>
          <w:sz w:val="18"/>
        </w:rPr>
        <w:t xml:space="preserve">Hegazy AA, Alghamdi MS, </w:t>
      </w:r>
      <w:proofErr w:type="spellStart"/>
      <w:r w:rsidRPr="00FA0D49">
        <w:rPr>
          <w:sz w:val="18"/>
        </w:rPr>
        <w:t>Shouman</w:t>
      </w:r>
      <w:proofErr w:type="spellEnd"/>
      <w:r w:rsidRPr="00FA0D49">
        <w:rPr>
          <w:sz w:val="18"/>
        </w:rPr>
        <w:t xml:space="preserve"> WM, Hegazy RA. Mass Chemoprophylaxis with Ivermectin against COVID-19 Pandemic: Review and Authors’ Perspective. Acta Scientific Medical Sciences 2021;5(6): 47-51</w:t>
      </w:r>
      <w:r w:rsidR="005973B9">
        <w:rPr>
          <w:sz w:val="18"/>
        </w:rPr>
        <w:t>.</w:t>
      </w:r>
    </w:p>
    <w:p w14:paraId="2CCC6229" w14:textId="18A3F1A6" w:rsidR="005973B9" w:rsidRDefault="00FA0D49" w:rsidP="00FA0D49">
      <w:pPr>
        <w:pStyle w:val="BodyText"/>
        <w:numPr>
          <w:ilvl w:val="0"/>
          <w:numId w:val="3"/>
        </w:numPr>
        <w:spacing w:line="218" w:lineRule="exact"/>
        <w:rPr>
          <w:rFonts w:ascii="Calibri"/>
        </w:rPr>
      </w:pPr>
      <w:r w:rsidRPr="00FA0D49">
        <w:rPr>
          <w:rFonts w:ascii="Calibri" w:eastAsia="Calibri" w:hAnsi="Calibri" w:cs="Calibri"/>
          <w:szCs w:val="22"/>
        </w:rPr>
        <w:t>Hegazy AA. Ivermectin for COVID-19 prophylaxis. European Journal of Clinical and Experimental Medicine 2021;19 (3): 280–282</w:t>
      </w:r>
      <w:r w:rsidR="005973B9" w:rsidRPr="005973B9">
        <w:rPr>
          <w:rFonts w:ascii="Calibri"/>
        </w:rPr>
        <w:t>.</w:t>
      </w:r>
    </w:p>
    <w:p w14:paraId="37DE94EA" w14:textId="43330CE4"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FA0D49" w:rsidRPr="00FA0D49">
        <w:rPr>
          <w:rFonts w:ascii="Calibri" w:hAnsi="Calibri"/>
        </w:rPr>
        <w:t>Hegazy AA. Skull Sutures as Anatomical Landmarks.</w:t>
      </w:r>
      <w:r w:rsidR="00FA0D49">
        <w:rPr>
          <w:rFonts w:ascii="Calibri" w:hAnsi="Calibri"/>
        </w:rPr>
        <w:t xml:space="preserve"> (Chapter)</w:t>
      </w:r>
      <w:r w:rsidR="00FA0D49" w:rsidRPr="00FA0D49">
        <w:rPr>
          <w:rFonts w:ascii="Calibri" w:hAnsi="Calibri"/>
        </w:rPr>
        <w:t xml:space="preserve"> In</w:t>
      </w:r>
      <w:r w:rsidR="00FA0D49">
        <w:rPr>
          <w:rFonts w:ascii="Calibri" w:hAnsi="Calibri"/>
        </w:rPr>
        <w:t xml:space="preserve"> </w:t>
      </w:r>
      <w:r w:rsidR="00F72C17">
        <w:rPr>
          <w:rFonts w:ascii="Calibri" w:hAnsi="Calibri"/>
        </w:rPr>
        <w:t>Book “</w:t>
      </w:r>
      <w:r w:rsidR="00FA0D49" w:rsidRPr="00FA0D49">
        <w:rPr>
          <w:rFonts w:ascii="Calibri" w:hAnsi="Calibri"/>
        </w:rPr>
        <w:t>The Sutures of the Skull</w:t>
      </w:r>
      <w:r w:rsidR="00F72C17">
        <w:rPr>
          <w:rFonts w:ascii="Calibri" w:hAnsi="Calibri"/>
        </w:rPr>
        <w:t>”</w:t>
      </w:r>
      <w:r w:rsidR="00FA0D49" w:rsidRPr="00FA0D49">
        <w:rPr>
          <w:rFonts w:ascii="Calibri" w:hAnsi="Calibri"/>
        </w:rPr>
        <w:t xml:space="preserve"> 2021 (pp. 129-146). Springer, Cham</w:t>
      </w:r>
      <w:r>
        <w:rPr>
          <w:rFonts w:ascii="Calibri" w:hAnsi="Calibri"/>
        </w:rPr>
        <w:t>.</w:t>
      </w:r>
    </w:p>
    <w:p w14:paraId="71039C90" w14:textId="77777777" w:rsidR="00AE3E37" w:rsidRPr="008756E6" w:rsidRDefault="00AE3E37" w:rsidP="008756E6">
      <w:pPr>
        <w:tabs>
          <w:tab w:val="left" w:pos="384"/>
        </w:tabs>
        <w:ind w:right="117"/>
      </w:pPr>
    </w:p>
    <w:p w14:paraId="329A2C0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F991D14"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0FFD7C1C"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D748E8E" wp14:editId="2B8DD22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0579B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A8EEA9C" w14:textId="0B2CE024" w:rsidR="00AE3E37" w:rsidRDefault="008756E6" w:rsidP="00404E5B">
      <w:pPr>
        <w:spacing w:before="92"/>
        <w:ind w:right="4234"/>
        <w:rPr>
          <w:rFonts w:ascii="Arial"/>
        </w:rPr>
      </w:pPr>
      <w:r>
        <w:rPr>
          <w:noProof/>
        </w:rPr>
        <w:t xml:space="preserve">      </w:t>
      </w:r>
      <w:r w:rsidR="00F72C17">
        <w:rPr>
          <w:rFonts w:ascii="Arial"/>
          <w:noProof/>
          <w:color w:val="BF5A14"/>
        </w:rPr>
        <w:drawing>
          <wp:inline distT="0" distB="0" distL="0" distR="0" wp14:anchorId="08026554" wp14:editId="5EF5FB84">
            <wp:extent cx="733296" cy="9239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742193" cy="935135"/>
                    </a:xfrm>
                    <a:prstGeom prst="rect">
                      <a:avLst/>
                    </a:prstGeom>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14:paraId="27CB0B23" w14:textId="58ECB01B" w:rsidR="00AE3E37" w:rsidRDefault="00A9710C" w:rsidP="00932A4C">
      <w:pPr>
        <w:spacing w:before="41" w:line="154" w:lineRule="exact"/>
        <w:ind w:left="213" w:right="231"/>
        <w:rPr>
          <w:rFonts w:ascii="Arial"/>
          <w:sz w:val="14"/>
        </w:rPr>
      </w:pPr>
      <w:r>
        <w:rPr>
          <w:rFonts w:ascii="Arial"/>
          <w:sz w:val="14"/>
        </w:rPr>
        <w:t>D</w:t>
      </w:r>
      <w:r w:rsidR="0078738A">
        <w:rPr>
          <w:rFonts w:ascii="Arial"/>
          <w:sz w:val="14"/>
        </w:rPr>
        <w:t>r</w:t>
      </w:r>
      <w:r w:rsidR="00734BDF">
        <w:rPr>
          <w:rFonts w:ascii="Arial"/>
          <w:sz w:val="14"/>
        </w:rPr>
        <w:t xml:space="preserve"> A Hegazy is a</w:t>
      </w:r>
      <w:r w:rsidR="0078738A">
        <w:rPr>
          <w:rFonts w:ascii="Arial"/>
          <w:sz w:val="14"/>
        </w:rPr>
        <w:t xml:space="preserve"> </w:t>
      </w:r>
      <w:r w:rsidR="00734BDF" w:rsidRPr="00734BDF">
        <w:rPr>
          <w:rFonts w:ascii="Arial"/>
          <w:sz w:val="14"/>
        </w:rPr>
        <w:t>Professor of Human Anatomy and Embryology</w:t>
      </w:r>
      <w:r w:rsidR="00734BDF">
        <w:rPr>
          <w:rFonts w:ascii="Arial"/>
          <w:sz w:val="14"/>
        </w:rPr>
        <w:t xml:space="preserve"> and </w:t>
      </w:r>
      <w:r w:rsidR="00734BDF" w:rsidRPr="00734BDF">
        <w:rPr>
          <w:rFonts w:ascii="Arial"/>
          <w:sz w:val="14"/>
        </w:rPr>
        <w:t>the former chairman of</w:t>
      </w:r>
      <w:r w:rsidR="00734BDF">
        <w:rPr>
          <w:rFonts w:ascii="Arial"/>
          <w:sz w:val="14"/>
        </w:rPr>
        <w:t xml:space="preserve"> department</w:t>
      </w:r>
      <w:r w:rsidR="00734BDF" w:rsidRPr="00734BDF">
        <w:rPr>
          <w:rFonts w:ascii="Arial"/>
          <w:sz w:val="14"/>
        </w:rPr>
        <w:t xml:space="preserve">, Faculty of Medicine, Zagazig University, Egypt &amp; </w:t>
      </w:r>
      <w:r w:rsidR="00734BDF">
        <w:rPr>
          <w:rFonts w:ascii="Arial"/>
          <w:sz w:val="14"/>
        </w:rPr>
        <w:t xml:space="preserve">Medical Biotechnology Department, </w:t>
      </w:r>
      <w:r w:rsidR="00734BDF" w:rsidRPr="00734BDF">
        <w:rPr>
          <w:rFonts w:ascii="Arial"/>
          <w:sz w:val="14"/>
        </w:rPr>
        <w:t xml:space="preserve">College of Biotechnology, </w:t>
      </w:r>
      <w:proofErr w:type="spellStart"/>
      <w:r w:rsidR="00734BDF" w:rsidRPr="00734BDF">
        <w:rPr>
          <w:rFonts w:ascii="Arial"/>
          <w:sz w:val="14"/>
        </w:rPr>
        <w:t>Misr</w:t>
      </w:r>
      <w:proofErr w:type="spellEnd"/>
      <w:r w:rsidR="00734BDF" w:rsidRPr="00734BDF">
        <w:rPr>
          <w:rFonts w:ascii="Arial"/>
          <w:sz w:val="14"/>
        </w:rPr>
        <w:t xml:space="preserve"> University for Science &amp; Technology (MUST), Egypt. He is also a Consultant of Obstetrics, Gynecology and Infertility.</w:t>
      </w:r>
      <w:r w:rsidR="00932A4C">
        <w:rPr>
          <w:rFonts w:ascii="Arial"/>
          <w:sz w:val="14"/>
        </w:rPr>
        <w:t xml:space="preserve"> He is also a </w:t>
      </w:r>
      <w:r w:rsidR="00932A4C" w:rsidRPr="00734BDF">
        <w:rPr>
          <w:rFonts w:ascii="Arial"/>
          <w:sz w:val="14"/>
        </w:rPr>
        <w:t xml:space="preserve">Professor in King Saud and </w:t>
      </w:r>
      <w:proofErr w:type="spellStart"/>
      <w:r w:rsidR="00932A4C" w:rsidRPr="00734BDF">
        <w:rPr>
          <w:rFonts w:ascii="Arial"/>
          <w:sz w:val="14"/>
        </w:rPr>
        <w:t>Majmaah</w:t>
      </w:r>
      <w:proofErr w:type="spellEnd"/>
      <w:r w:rsidR="00932A4C" w:rsidRPr="00734BDF">
        <w:rPr>
          <w:rFonts w:ascii="Arial"/>
          <w:sz w:val="14"/>
        </w:rPr>
        <w:t xml:space="preserve"> Universities (KSA) 2009-2013 and Misurata, Faculty of Medicine (Libya) 2000</w:t>
      </w:r>
      <w:r w:rsidR="00932A4C">
        <w:rPr>
          <w:rFonts w:ascii="Arial"/>
          <w:sz w:val="14"/>
        </w:rPr>
        <w:t xml:space="preserve">. </w:t>
      </w:r>
      <w:r w:rsidR="00734BDF" w:rsidRPr="00734BDF">
        <w:rPr>
          <w:rFonts w:ascii="Arial"/>
          <w:sz w:val="14"/>
        </w:rPr>
        <w:t>Dr. Hegazy is also a referee of scientific research submitted for promotion of professors in Egyptian Universities (since 2016 till Present)</w:t>
      </w:r>
      <w:r>
        <w:rPr>
          <w:rFonts w:ascii="Arial"/>
          <w:sz w:val="14"/>
        </w:rPr>
        <w:t>.</w:t>
      </w:r>
      <w:r w:rsidR="00932A4C">
        <w:rPr>
          <w:rFonts w:ascii="Arial"/>
          <w:sz w:val="14"/>
        </w:rPr>
        <w:t xml:space="preserve"> He is a </w:t>
      </w:r>
      <w:r w:rsidR="00932A4C" w:rsidRPr="00932A4C">
        <w:rPr>
          <w:rFonts w:ascii="Arial"/>
          <w:sz w:val="14"/>
        </w:rPr>
        <w:t>Global Goodwill Ambassador (GGA)</w:t>
      </w:r>
      <w:r w:rsidR="00932A4C">
        <w:rPr>
          <w:rFonts w:ascii="Arial"/>
          <w:sz w:val="14"/>
        </w:rPr>
        <w:t xml:space="preserve">. </w:t>
      </w:r>
      <w:r w:rsidR="00932A4C" w:rsidRPr="00932A4C">
        <w:rPr>
          <w:rFonts w:ascii="Arial"/>
          <w:sz w:val="14"/>
        </w:rPr>
        <w:t>He is Editor-in-Chief of:</w:t>
      </w:r>
      <w:r w:rsidR="00932A4C">
        <w:rPr>
          <w:rFonts w:ascii="Arial"/>
          <w:sz w:val="14"/>
        </w:rPr>
        <w:t xml:space="preserve"> </w:t>
      </w:r>
      <w:r w:rsidR="00932A4C" w:rsidRPr="00932A4C">
        <w:rPr>
          <w:rFonts w:ascii="Arial"/>
          <w:sz w:val="14"/>
        </w:rPr>
        <w:t xml:space="preserve">Int J Hum </w:t>
      </w:r>
      <w:proofErr w:type="spellStart"/>
      <w:r w:rsidR="00932A4C" w:rsidRPr="00932A4C">
        <w:rPr>
          <w:rFonts w:ascii="Arial"/>
          <w:sz w:val="14"/>
        </w:rPr>
        <w:t>Anat</w:t>
      </w:r>
      <w:proofErr w:type="spellEnd"/>
      <w:r w:rsidR="00932A4C" w:rsidRPr="00932A4C">
        <w:rPr>
          <w:rFonts w:ascii="Arial"/>
          <w:sz w:val="14"/>
        </w:rPr>
        <w:t xml:space="preserve"> (USA); Women Health and Complications (UK), SAR J Med Case Reports (Bangladesh), Journal of Medical &amp; Advanced Clinical Case Reports (India)</w:t>
      </w:r>
      <w:r w:rsidR="00932A4C">
        <w:rPr>
          <w:rFonts w:ascii="Arial"/>
          <w:sz w:val="14"/>
        </w:rPr>
        <w:t>,</w:t>
      </w:r>
      <w:r w:rsidR="00932A4C" w:rsidRPr="00932A4C">
        <w:rPr>
          <w:rFonts w:ascii="Arial"/>
          <w:sz w:val="14"/>
        </w:rPr>
        <w:t xml:space="preserve"> International Journal of Science and Research Development</w:t>
      </w:r>
      <w:r w:rsidR="00932A4C" w:rsidRPr="00932A4C">
        <w:rPr>
          <w:rFonts w:ascii="Arial"/>
          <w:sz w:val="14"/>
        </w:rPr>
        <w:t>, Worldwide</w:t>
      </w:r>
      <w:r w:rsidR="00932A4C" w:rsidRPr="00932A4C">
        <w:rPr>
          <w:rFonts w:ascii="Arial"/>
          <w:sz w:val="14"/>
        </w:rPr>
        <w:t xml:space="preserve"> Journal of Research (Nigeria), American Journal of Medical Sciences and Pharmaceutical Research &amp; Cloning &amp; Transgenesis (USA)</w:t>
      </w:r>
      <w:r w:rsidR="00932A4C">
        <w:rPr>
          <w:rFonts w:ascii="Arial"/>
          <w:sz w:val="14"/>
        </w:rPr>
        <w:t>.</w:t>
      </w:r>
    </w:p>
    <w:p w14:paraId="3376F47D" w14:textId="2A65FB71" w:rsidR="00AE3E37" w:rsidRDefault="00A9710C" w:rsidP="00F72C17">
      <w:pPr>
        <w:spacing w:before="62"/>
        <w:ind w:left="3240" w:right="4235"/>
        <w:jc w:val="center"/>
        <w:rPr>
          <w:rFonts w:ascii="Arial"/>
          <w:sz w:val="14"/>
        </w:rPr>
      </w:pPr>
      <w:r>
        <w:rPr>
          <w:rFonts w:ascii="Arial"/>
          <w:sz w:val="14"/>
        </w:rPr>
        <w:t xml:space="preserve">Email: </w:t>
      </w:r>
      <w:hyperlink r:id="rId10" w:history="1">
        <w:r w:rsidR="00F72C17" w:rsidRPr="00005DC2">
          <w:rPr>
            <w:rStyle w:val="Hyperlink"/>
            <w:rFonts w:ascii="Arial"/>
            <w:sz w:val="14"/>
          </w:rPr>
          <w:t>dr.abdelmonemhegazy@yahoo.com</w:t>
        </w:r>
      </w:hyperlink>
    </w:p>
    <w:p w14:paraId="758E30C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B81D144" wp14:editId="4E46003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2F9CF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6AF24C89" w14:textId="77777777" w:rsidR="00AE3E37" w:rsidRDefault="00AE3E37">
      <w:pPr>
        <w:pStyle w:val="BodyText"/>
        <w:rPr>
          <w:rFonts w:ascii="Arial"/>
          <w:sz w:val="20"/>
        </w:rPr>
      </w:pPr>
    </w:p>
    <w:p w14:paraId="6C6F028D" w14:textId="77777777" w:rsidR="00AE3E37" w:rsidRDefault="00AE3E37">
      <w:pPr>
        <w:pStyle w:val="BodyText"/>
        <w:rPr>
          <w:rFonts w:ascii="Arial"/>
          <w:sz w:val="20"/>
        </w:rPr>
      </w:pPr>
    </w:p>
    <w:p w14:paraId="79C1D2E1" w14:textId="77777777" w:rsidR="00AE3E37" w:rsidRDefault="00AE3E37">
      <w:pPr>
        <w:pStyle w:val="BodyText"/>
        <w:spacing w:before="7"/>
        <w:rPr>
          <w:rFonts w:ascii="Arial"/>
          <w:sz w:val="29"/>
        </w:rPr>
      </w:pPr>
    </w:p>
    <w:p w14:paraId="1BC40517" w14:textId="77777777" w:rsidR="00AE3E37" w:rsidRPr="00B21A57" w:rsidRDefault="00A9710C">
      <w:pPr>
        <w:spacing w:before="39"/>
        <w:ind w:left="100"/>
        <w:rPr>
          <w:rFonts w:ascii="Minion Pro"/>
          <w:b/>
          <w:sz w:val="20"/>
        </w:rPr>
      </w:pPr>
      <w:r w:rsidRPr="00B21A57">
        <w:rPr>
          <w:rFonts w:ascii="Minion Pro"/>
          <w:b/>
          <w:sz w:val="20"/>
        </w:rPr>
        <w:t>Notes/Comments:</w:t>
      </w:r>
    </w:p>
    <w:p w14:paraId="4A0406D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7883F6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84EED" w14:textId="77777777" w:rsidR="00AE2A20" w:rsidRDefault="00AE2A20">
      <w:r>
        <w:separator/>
      </w:r>
    </w:p>
  </w:endnote>
  <w:endnote w:type="continuationSeparator" w:id="0">
    <w:p w14:paraId="37C0FE6B" w14:textId="77777777" w:rsidR="00AE2A20" w:rsidRDefault="00AE2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AE81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E388B43" wp14:editId="6A4357B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A59D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735593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388B4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A5A59D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735593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488E12C" wp14:editId="023318B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DD13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FEF5A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88E12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236DD13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FEF5A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D482C79" wp14:editId="54DF11C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A6D7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E3595E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482C7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5DAA6D7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E3595E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BC2D9" w14:textId="77777777" w:rsidR="00AE2A20" w:rsidRDefault="00AE2A20">
      <w:r>
        <w:separator/>
      </w:r>
    </w:p>
  </w:footnote>
  <w:footnote w:type="continuationSeparator" w:id="0">
    <w:p w14:paraId="50146C76" w14:textId="77777777" w:rsidR="00AE2A20" w:rsidRDefault="00AE2A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BDD1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7AB3BC0" wp14:editId="5F201FD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AA8F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AB3BC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CBAA8F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E71AAC8" wp14:editId="19B19F4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B8F4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3641BD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71AAC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26B8F4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3641BD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C8F27A84"/>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D7F3B"/>
    <w:rsid w:val="001E763C"/>
    <w:rsid w:val="00292ED9"/>
    <w:rsid w:val="00314AFB"/>
    <w:rsid w:val="003B76D9"/>
    <w:rsid w:val="00404233"/>
    <w:rsid w:val="00404E5B"/>
    <w:rsid w:val="00414F7B"/>
    <w:rsid w:val="004355DC"/>
    <w:rsid w:val="004749B4"/>
    <w:rsid w:val="00494130"/>
    <w:rsid w:val="004A3639"/>
    <w:rsid w:val="004F2ECF"/>
    <w:rsid w:val="004F3523"/>
    <w:rsid w:val="005973B9"/>
    <w:rsid w:val="005B3A56"/>
    <w:rsid w:val="006060CE"/>
    <w:rsid w:val="0063497F"/>
    <w:rsid w:val="00734BDF"/>
    <w:rsid w:val="0078738A"/>
    <w:rsid w:val="00873DF0"/>
    <w:rsid w:val="008756E6"/>
    <w:rsid w:val="00932A4C"/>
    <w:rsid w:val="009B2D44"/>
    <w:rsid w:val="00A07E82"/>
    <w:rsid w:val="00A9710C"/>
    <w:rsid w:val="00AE2A20"/>
    <w:rsid w:val="00AE3E37"/>
    <w:rsid w:val="00B21A57"/>
    <w:rsid w:val="00C33602"/>
    <w:rsid w:val="00CD6F55"/>
    <w:rsid w:val="00D62425"/>
    <w:rsid w:val="00DE3104"/>
    <w:rsid w:val="00F72C17"/>
    <w:rsid w:val="00F72EEA"/>
    <w:rsid w:val="00F8136A"/>
    <w:rsid w:val="00F84CAE"/>
    <w:rsid w:val="00FA0D4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D3CFED"/>
  <w15:docId w15:val="{D2A30CCF-540E-4AEE-BEAD-C4E773DFE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F72C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70733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3370961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abdelmonemhegazy@yahoo.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551</Words>
  <Characters>3143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AMoneim Hegazy PDK211062</cp:lastModifiedBy>
  <cp:revision>2</cp:revision>
  <dcterms:created xsi:type="dcterms:W3CDTF">2021-10-07T14:31:00Z</dcterms:created>
  <dcterms:modified xsi:type="dcterms:W3CDTF">2021-10-07T14:31:00Z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