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61" w:rsidRPr="00883D2C" w:rsidRDefault="00CF3E61" w:rsidP="00CF3E61">
      <w:pPr>
        <w:bidi w:val="0"/>
        <w:spacing w:after="2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3E61">
        <w:rPr>
          <w:rFonts w:ascii="Times New Roman" w:hAnsi="Times New Roman" w:cs="Times New Roman"/>
          <w:b/>
          <w:bCs/>
          <w:sz w:val="28"/>
          <w:szCs w:val="28"/>
        </w:rPr>
        <w:t>A camelid antibody against human delta like ligand-4 for inhibition of angiogenesis development</w:t>
      </w:r>
    </w:p>
    <w:p w:rsidR="00883D2C" w:rsidRPr="00AC434E" w:rsidRDefault="00AD6C37" w:rsidP="00AC434E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</w:pPr>
      <w:proofErr w:type="spellStart"/>
      <w:r w:rsidRPr="00AD6C37">
        <w:rPr>
          <w:rFonts w:ascii="Times New Roman" w:eastAsia="Times New Roman" w:hAnsi="Times New Roman" w:cs="Times New Roman"/>
          <w:sz w:val="24"/>
          <w:szCs w:val="24"/>
          <w:u w:val="single"/>
          <w:lang w:bidi="ar-SA"/>
        </w:rPr>
        <w:t>Rasoul</w:t>
      </w:r>
      <w:proofErr w:type="spellEnd"/>
      <w:r w:rsidRPr="00AD6C37">
        <w:rPr>
          <w:rFonts w:ascii="Times New Roman" w:eastAsia="Times New Roman" w:hAnsi="Times New Roman" w:cs="Times New Roman"/>
          <w:sz w:val="24"/>
          <w:szCs w:val="24"/>
          <w:u w:val="single"/>
          <w:lang w:bidi="ar-SA"/>
        </w:rPr>
        <w:t xml:space="preserve"> </w:t>
      </w:r>
      <w:r w:rsidR="00883D2C" w:rsidRPr="00AD6C37">
        <w:rPr>
          <w:rFonts w:ascii="Times New Roman" w:eastAsia="Times New Roman" w:hAnsi="Times New Roman" w:cs="Times New Roman"/>
          <w:sz w:val="24"/>
          <w:szCs w:val="24"/>
          <w:u w:val="single"/>
          <w:lang w:bidi="ar-SA"/>
        </w:rPr>
        <w:t>Baharlou</w:t>
      </w:r>
      <w:r w:rsidR="00883D2C" w:rsidRPr="00883D2C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1</w:t>
      </w:r>
      <w:r w:rsidR="00AC434E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,2</w:t>
      </w:r>
      <w:r w:rsidR="00CF3E61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*</w:t>
      </w:r>
      <w:r w:rsidR="00883D2C" w:rsidRPr="00883D2C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Nader </w:t>
      </w:r>
      <w:hyperlink r:id="rId5" w:history="1">
        <w:r w:rsidR="00883D2C" w:rsidRPr="00AD6C37">
          <w:rPr>
            <w:rFonts w:ascii="Times New Roman" w:eastAsia="Times New Roman" w:hAnsi="Times New Roman" w:cs="Times New Roman"/>
            <w:sz w:val="24"/>
            <w:szCs w:val="24"/>
            <w:lang w:bidi="ar-SA"/>
          </w:rPr>
          <w:t>Tajik</w:t>
        </w:r>
      </w:hyperlink>
      <w:r w:rsidR="00AC434E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3</w:t>
      </w:r>
      <w:r w:rsidR="00883D2C" w:rsidRPr="00883D2C">
        <w:rPr>
          <w:rFonts w:ascii="Times New Roman" w:eastAsia="Times New Roman" w:hAnsi="Times New Roman" w:cs="Times New Roman"/>
          <w:sz w:val="24"/>
          <w:szCs w:val="24"/>
          <w:lang w:bidi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Mahdi</w:t>
      </w:r>
      <w:r w:rsidR="00883D2C" w:rsidRPr="00883D2C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hyperlink r:id="rId6" w:history="1">
        <w:r w:rsidR="00883D2C" w:rsidRPr="00AD6C37">
          <w:rPr>
            <w:rFonts w:ascii="Times New Roman" w:eastAsia="Times New Roman" w:hAnsi="Times New Roman" w:cs="Times New Roman"/>
            <w:sz w:val="24"/>
            <w:szCs w:val="24"/>
            <w:lang w:bidi="ar-SA"/>
          </w:rPr>
          <w:t>Habibi-Anbouhi</w:t>
        </w:r>
      </w:hyperlink>
      <w:r w:rsidR="00AC434E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4</w:t>
      </w:r>
      <w:r w:rsidR="00883D2C" w:rsidRPr="00883D2C">
        <w:rPr>
          <w:rFonts w:ascii="Times New Roman" w:eastAsia="Times New Roman" w:hAnsi="Times New Roman" w:cs="Times New Roman"/>
          <w:sz w:val="24"/>
          <w:szCs w:val="24"/>
          <w:lang w:bidi="ar-SA"/>
        </w:rPr>
        <w:t>,</w:t>
      </w:r>
      <w:r w:rsidR="00CF3E6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Mohamd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Ali</w:t>
      </w:r>
      <w:r w:rsidR="00883D2C" w:rsidRPr="00883D2C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hyperlink r:id="rId7" w:history="1">
        <w:r w:rsidR="00883D2C" w:rsidRPr="00AD6C37">
          <w:rPr>
            <w:rFonts w:ascii="Times New Roman" w:eastAsia="Times New Roman" w:hAnsi="Times New Roman" w:cs="Times New Roman"/>
            <w:sz w:val="24"/>
            <w:szCs w:val="24"/>
            <w:lang w:bidi="ar-SA"/>
          </w:rPr>
          <w:t>Shokrgozar</w:t>
        </w:r>
      </w:hyperlink>
      <w:r w:rsidR="00AC434E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4</w:t>
      </w:r>
      <w:r w:rsidR="00883D2C" w:rsidRPr="00883D2C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Amir Hasan </w:t>
      </w:r>
      <w:hyperlink r:id="rId8" w:history="1">
        <w:r w:rsidR="00883D2C" w:rsidRPr="00AD6C37">
          <w:rPr>
            <w:rFonts w:ascii="Times New Roman" w:eastAsia="Times New Roman" w:hAnsi="Times New Roman" w:cs="Times New Roman"/>
            <w:sz w:val="24"/>
            <w:szCs w:val="24"/>
            <w:lang w:bidi="ar-SA"/>
          </w:rPr>
          <w:t>Zarnani</w:t>
        </w:r>
      </w:hyperlink>
      <w:r w:rsidR="00AC434E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3</w:t>
      </w:r>
      <w:r w:rsidR="00CF3E6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Mahdi </w:t>
      </w:r>
      <w:hyperlink r:id="rId9" w:history="1">
        <w:r w:rsidR="00883D2C" w:rsidRPr="00AD6C37">
          <w:rPr>
            <w:rFonts w:ascii="Times New Roman" w:eastAsia="Times New Roman" w:hAnsi="Times New Roman" w:cs="Times New Roman"/>
            <w:sz w:val="24"/>
            <w:szCs w:val="24"/>
            <w:lang w:bidi="ar-SA"/>
          </w:rPr>
          <w:t>Behdani</w:t>
        </w:r>
      </w:hyperlink>
      <w:r w:rsidR="00AC434E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5</w:t>
      </w:r>
      <w:r w:rsidR="00AC434E">
        <w:rPr>
          <w:rFonts w:ascii="Times New Roman" w:eastAsia="Times New Roman" w:hAnsi="Times New Roman" w:cs="Times New Roman"/>
          <w:sz w:val="24"/>
          <w:szCs w:val="24"/>
          <w:lang w:bidi="ar-SA"/>
        </w:rPr>
        <w:t>, Maryam Sheikh</w:t>
      </w:r>
      <w:r w:rsidR="00AC434E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2</w:t>
      </w:r>
      <w:bookmarkStart w:id="0" w:name="_GoBack"/>
      <w:bookmarkEnd w:id="0"/>
    </w:p>
    <w:p w:rsidR="00AD6C37" w:rsidRDefault="00AD6C37" w:rsidP="00AD6C37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AC434E" w:rsidRPr="00AD6C37" w:rsidRDefault="00AC434E" w:rsidP="00AC434E">
      <w:pPr>
        <w:pStyle w:val="ListParagraph"/>
        <w:numPr>
          <w:ilvl w:val="0"/>
          <w:numId w:val="3"/>
        </w:numPr>
        <w:bidi w:val="0"/>
        <w:spacing w:after="24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Cancer Research Center, </w:t>
      </w:r>
      <w:r w:rsidRPr="00AD6C37">
        <w:rPr>
          <w:rFonts w:ascii="Times New Roman" w:hAnsi="Times New Roman" w:cs="Times New Roman"/>
          <w:i/>
          <w:iCs/>
        </w:rPr>
        <w:t xml:space="preserve">Semnan University of </w:t>
      </w:r>
      <w:r>
        <w:rPr>
          <w:rFonts w:ascii="Times New Roman" w:hAnsi="Times New Roman" w:cs="Times New Roman"/>
          <w:i/>
          <w:iCs/>
        </w:rPr>
        <w:t>Medical Sciences, Semnan, Iran</w:t>
      </w:r>
    </w:p>
    <w:p w:rsidR="00AD6C37" w:rsidRDefault="00AD6C37" w:rsidP="00AC434E">
      <w:pPr>
        <w:pStyle w:val="ListParagraph"/>
        <w:numPr>
          <w:ilvl w:val="0"/>
          <w:numId w:val="3"/>
        </w:numPr>
        <w:bidi w:val="0"/>
        <w:spacing w:after="240"/>
        <w:jc w:val="both"/>
        <w:rPr>
          <w:rFonts w:ascii="Times New Roman" w:hAnsi="Times New Roman" w:cs="Times New Roman"/>
          <w:i/>
          <w:iCs/>
        </w:rPr>
      </w:pPr>
      <w:r w:rsidRPr="00AD6C37">
        <w:rPr>
          <w:rFonts w:ascii="Times New Roman" w:hAnsi="Times New Roman" w:cs="Times New Roman"/>
          <w:i/>
          <w:iCs/>
        </w:rPr>
        <w:t xml:space="preserve">Department of Immunology, School of Medicine, Semnan University of </w:t>
      </w:r>
      <w:r>
        <w:rPr>
          <w:rFonts w:ascii="Times New Roman" w:hAnsi="Times New Roman" w:cs="Times New Roman"/>
          <w:i/>
          <w:iCs/>
        </w:rPr>
        <w:t xml:space="preserve">Medical Sciences, </w:t>
      </w:r>
      <w:r w:rsidR="00CF3E61">
        <w:rPr>
          <w:rFonts w:ascii="Times New Roman" w:hAnsi="Times New Roman" w:cs="Times New Roman"/>
          <w:i/>
          <w:iCs/>
        </w:rPr>
        <w:t>Semnan, Iran</w:t>
      </w:r>
    </w:p>
    <w:p w:rsidR="00AC434E" w:rsidRDefault="00AC434E" w:rsidP="00AC434E">
      <w:pPr>
        <w:pStyle w:val="ListParagraph"/>
        <w:numPr>
          <w:ilvl w:val="0"/>
          <w:numId w:val="3"/>
        </w:numPr>
        <w:bidi w:val="0"/>
        <w:spacing w:after="240"/>
        <w:jc w:val="both"/>
        <w:rPr>
          <w:rFonts w:ascii="Times New Roman" w:hAnsi="Times New Roman" w:cs="Times New Roman"/>
          <w:i/>
          <w:iCs/>
        </w:rPr>
      </w:pPr>
      <w:r w:rsidRPr="00AD6C37">
        <w:rPr>
          <w:rFonts w:ascii="Times New Roman" w:hAnsi="Times New Roman" w:cs="Times New Roman"/>
          <w:i/>
          <w:iCs/>
        </w:rPr>
        <w:t xml:space="preserve">Department of Immunology, School of Medicine, </w:t>
      </w:r>
      <w:r>
        <w:rPr>
          <w:rFonts w:ascii="Times New Roman" w:hAnsi="Times New Roman" w:cs="Times New Roman"/>
          <w:i/>
          <w:iCs/>
        </w:rPr>
        <w:t>Iran</w:t>
      </w:r>
      <w:r w:rsidRPr="00AD6C37">
        <w:rPr>
          <w:rFonts w:ascii="Times New Roman" w:hAnsi="Times New Roman" w:cs="Times New Roman"/>
          <w:i/>
          <w:iCs/>
        </w:rPr>
        <w:t xml:space="preserve"> University of </w:t>
      </w:r>
      <w:r>
        <w:rPr>
          <w:rFonts w:ascii="Times New Roman" w:hAnsi="Times New Roman" w:cs="Times New Roman"/>
          <w:i/>
          <w:iCs/>
        </w:rPr>
        <w:t xml:space="preserve">Medical Sciences, </w:t>
      </w:r>
      <w:r>
        <w:rPr>
          <w:rFonts w:ascii="Times New Roman" w:hAnsi="Times New Roman" w:cs="Times New Roman"/>
          <w:i/>
          <w:iCs/>
        </w:rPr>
        <w:t>Tehran</w:t>
      </w:r>
      <w:r>
        <w:rPr>
          <w:rFonts w:ascii="Times New Roman" w:hAnsi="Times New Roman" w:cs="Times New Roman"/>
          <w:i/>
          <w:iCs/>
        </w:rPr>
        <w:t>, Iran</w:t>
      </w:r>
    </w:p>
    <w:p w:rsidR="00CF3E61" w:rsidRDefault="00CF3E61" w:rsidP="00CF3E61">
      <w:pPr>
        <w:pStyle w:val="ListParagraph"/>
        <w:numPr>
          <w:ilvl w:val="0"/>
          <w:numId w:val="3"/>
        </w:numPr>
        <w:bidi w:val="0"/>
        <w:spacing w:after="240"/>
        <w:jc w:val="both"/>
        <w:rPr>
          <w:rFonts w:ascii="Times New Roman" w:hAnsi="Times New Roman" w:cs="Times New Roman"/>
          <w:i/>
          <w:iCs/>
        </w:rPr>
      </w:pPr>
      <w:r w:rsidRPr="00CF3E61">
        <w:rPr>
          <w:rFonts w:ascii="Times New Roman" w:hAnsi="Times New Roman" w:cs="Times New Roman"/>
          <w:i/>
          <w:iCs/>
        </w:rPr>
        <w:t>National Cell Bank of Iran, Pasteur Institute of Iran, Tehran, Iran</w:t>
      </w:r>
    </w:p>
    <w:p w:rsidR="00CF3E61" w:rsidRDefault="00CF3E61" w:rsidP="00CF3E61">
      <w:pPr>
        <w:pStyle w:val="ListParagraph"/>
        <w:numPr>
          <w:ilvl w:val="0"/>
          <w:numId w:val="3"/>
        </w:numPr>
        <w:bidi w:val="0"/>
        <w:spacing w:after="240"/>
        <w:jc w:val="both"/>
        <w:rPr>
          <w:rFonts w:ascii="Times New Roman" w:hAnsi="Times New Roman" w:cs="Times New Roman"/>
          <w:i/>
          <w:iCs/>
        </w:rPr>
      </w:pPr>
      <w:r w:rsidRPr="00CF3E61">
        <w:rPr>
          <w:rFonts w:ascii="Times New Roman" w:hAnsi="Times New Roman" w:cs="Times New Roman"/>
          <w:i/>
          <w:iCs/>
        </w:rPr>
        <w:t xml:space="preserve">Biotechnology Research Center, Venom &amp; </w:t>
      </w:r>
      <w:proofErr w:type="spellStart"/>
      <w:r w:rsidRPr="00CF3E61">
        <w:rPr>
          <w:rFonts w:ascii="Times New Roman" w:hAnsi="Times New Roman" w:cs="Times New Roman"/>
          <w:i/>
          <w:iCs/>
        </w:rPr>
        <w:t>Biotherapeutics</w:t>
      </w:r>
      <w:proofErr w:type="spellEnd"/>
      <w:r w:rsidRPr="00CF3E61">
        <w:rPr>
          <w:rFonts w:ascii="Times New Roman" w:hAnsi="Times New Roman" w:cs="Times New Roman"/>
          <w:i/>
          <w:iCs/>
        </w:rPr>
        <w:t xml:space="preserve"> Molecules Laboratory, Pasteur Institute of Iran, Tehran, Iran</w:t>
      </w:r>
    </w:p>
    <w:p w:rsidR="00CF3E61" w:rsidRPr="00CF3E61" w:rsidRDefault="00CF3E61" w:rsidP="00CF3E61">
      <w:pPr>
        <w:pStyle w:val="ListParagraph"/>
        <w:bidi w:val="0"/>
        <w:spacing w:after="240"/>
        <w:jc w:val="both"/>
        <w:rPr>
          <w:rFonts w:ascii="Times New Roman" w:hAnsi="Times New Roman" w:cs="Times New Roman"/>
          <w:i/>
          <w:iCs/>
        </w:rPr>
      </w:pPr>
    </w:p>
    <w:p w:rsidR="00CF3E61" w:rsidRPr="00CF3E61" w:rsidRDefault="00CF3E61" w:rsidP="00CF3E61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F3E61">
        <w:rPr>
          <w:rFonts w:asciiTheme="majorBidi" w:hAnsiTheme="majorBidi" w:cstheme="majorBidi"/>
          <w:b/>
          <w:bCs/>
          <w:sz w:val="24"/>
          <w:szCs w:val="24"/>
        </w:rPr>
        <w:t>Background and aim:</w:t>
      </w:r>
      <w:r w:rsidRPr="00CF3E61">
        <w:rPr>
          <w:rFonts w:asciiTheme="majorBidi" w:hAnsiTheme="majorBidi" w:cstheme="majorBidi"/>
          <w:sz w:val="24"/>
          <w:szCs w:val="24"/>
        </w:rPr>
        <w:t xml:space="preserve"> Angiogenesis targeting is an attractive approach for cancer treatment. The Notch ligand delta-like 4 (DLL4) plays a pivotal role in tumor angiogenesis and </w:t>
      </w:r>
      <w:proofErr w:type="spellStart"/>
      <w:r w:rsidRPr="00CF3E61">
        <w:rPr>
          <w:rFonts w:asciiTheme="majorBidi" w:hAnsiTheme="majorBidi" w:cstheme="majorBidi"/>
          <w:sz w:val="24"/>
          <w:szCs w:val="24"/>
        </w:rPr>
        <w:t>neovascular</w:t>
      </w:r>
      <w:proofErr w:type="spellEnd"/>
      <w:r w:rsidRPr="00CF3E61">
        <w:rPr>
          <w:rFonts w:asciiTheme="majorBidi" w:hAnsiTheme="majorBidi" w:cstheme="majorBidi"/>
          <w:sz w:val="24"/>
          <w:szCs w:val="24"/>
        </w:rPr>
        <w:t xml:space="preserve"> development. It has been identified as a promising target in angiogenesis, and DLL4 inhibitors have recently entered clinical trials for solid tumors. </w:t>
      </w:r>
      <w:proofErr w:type="spellStart"/>
      <w:r w:rsidRPr="00CF3E61">
        <w:rPr>
          <w:rFonts w:asciiTheme="majorBidi" w:hAnsiTheme="majorBidi" w:cstheme="majorBidi"/>
          <w:sz w:val="24"/>
          <w:szCs w:val="24"/>
        </w:rPr>
        <w:t>Nanobodies</w:t>
      </w:r>
      <w:proofErr w:type="spellEnd"/>
      <w:r w:rsidRPr="00CF3E61">
        <w:rPr>
          <w:rFonts w:asciiTheme="majorBidi" w:hAnsiTheme="majorBidi" w:cstheme="majorBidi"/>
          <w:sz w:val="24"/>
          <w:szCs w:val="24"/>
        </w:rPr>
        <w:t xml:space="preserve"> (or VHHs) derived from </w:t>
      </w:r>
      <w:proofErr w:type="spellStart"/>
      <w:r w:rsidRPr="00CF3E61">
        <w:rPr>
          <w:rFonts w:asciiTheme="majorBidi" w:hAnsiTheme="majorBidi" w:cstheme="majorBidi"/>
          <w:sz w:val="24"/>
          <w:szCs w:val="24"/>
        </w:rPr>
        <w:t>camelidae</w:t>
      </w:r>
      <w:proofErr w:type="spellEnd"/>
      <w:r w:rsidRPr="00CF3E61">
        <w:rPr>
          <w:rFonts w:asciiTheme="majorBidi" w:hAnsiTheme="majorBidi" w:cstheme="majorBidi"/>
          <w:sz w:val="24"/>
          <w:szCs w:val="24"/>
        </w:rPr>
        <w:t xml:space="preserve"> are the antigen-binding domain, which can bind to antigens. The aim of this study was to evaluate the possibilities of using anti-DLL4 </w:t>
      </w:r>
      <w:proofErr w:type="spellStart"/>
      <w:r w:rsidRPr="00CF3E61">
        <w:rPr>
          <w:rFonts w:asciiTheme="majorBidi" w:hAnsiTheme="majorBidi" w:cstheme="majorBidi"/>
          <w:sz w:val="24"/>
          <w:szCs w:val="24"/>
        </w:rPr>
        <w:t>Nanobody</w:t>
      </w:r>
      <w:proofErr w:type="spellEnd"/>
      <w:r w:rsidRPr="00CF3E61">
        <w:rPr>
          <w:rFonts w:asciiTheme="majorBidi" w:hAnsiTheme="majorBidi" w:cstheme="majorBidi"/>
          <w:sz w:val="24"/>
          <w:szCs w:val="24"/>
        </w:rPr>
        <w:t xml:space="preserve"> as an angiogenesis inhibitor.</w:t>
      </w:r>
    </w:p>
    <w:p w:rsidR="00CF3E61" w:rsidRPr="00CF3E61" w:rsidRDefault="00CF3E61" w:rsidP="00523AB4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F3E61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Pr="00CF3E61">
        <w:rPr>
          <w:rFonts w:asciiTheme="majorBidi" w:hAnsiTheme="majorBidi" w:cstheme="majorBidi"/>
          <w:sz w:val="24"/>
          <w:szCs w:val="24"/>
        </w:rPr>
        <w:t xml:space="preserve"> In this study, a </w:t>
      </w:r>
      <w:proofErr w:type="spellStart"/>
      <w:r w:rsidRPr="00CF3E61">
        <w:rPr>
          <w:rFonts w:asciiTheme="majorBidi" w:hAnsiTheme="majorBidi" w:cstheme="majorBidi"/>
          <w:sz w:val="24"/>
          <w:szCs w:val="24"/>
        </w:rPr>
        <w:t>Nanobody</w:t>
      </w:r>
      <w:proofErr w:type="spellEnd"/>
      <w:r w:rsidRPr="00CF3E61">
        <w:rPr>
          <w:rFonts w:asciiTheme="majorBidi" w:hAnsiTheme="majorBidi" w:cstheme="majorBidi"/>
          <w:sz w:val="24"/>
          <w:szCs w:val="24"/>
        </w:rPr>
        <w:t xml:space="preserve"> library was constructed and a</w:t>
      </w:r>
      <w:r w:rsidR="00523AB4">
        <w:rPr>
          <w:rFonts w:asciiTheme="majorBidi" w:hAnsiTheme="majorBidi" w:cstheme="majorBidi"/>
          <w:sz w:val="24"/>
          <w:szCs w:val="24"/>
        </w:rPr>
        <w:t xml:space="preserve"> DLL4-specific </w:t>
      </w:r>
      <w:proofErr w:type="spellStart"/>
      <w:r w:rsidR="00523AB4">
        <w:rPr>
          <w:rFonts w:asciiTheme="majorBidi" w:hAnsiTheme="majorBidi" w:cstheme="majorBidi"/>
          <w:sz w:val="24"/>
          <w:szCs w:val="24"/>
        </w:rPr>
        <w:t>Nanobody</w:t>
      </w:r>
      <w:proofErr w:type="spellEnd"/>
      <w:r w:rsidR="00523AB4">
        <w:rPr>
          <w:rFonts w:asciiTheme="majorBidi" w:hAnsiTheme="majorBidi" w:cstheme="majorBidi"/>
          <w:sz w:val="24"/>
          <w:szCs w:val="24"/>
        </w:rPr>
        <w:t xml:space="preserve"> </w:t>
      </w:r>
      <w:r w:rsidRPr="00CF3E61">
        <w:rPr>
          <w:rFonts w:asciiTheme="majorBidi" w:hAnsiTheme="majorBidi" w:cstheme="majorBidi"/>
          <w:sz w:val="24"/>
          <w:szCs w:val="24"/>
        </w:rPr>
        <w:t xml:space="preserve">was selected. The interactions between selected </w:t>
      </w:r>
      <w:proofErr w:type="spellStart"/>
      <w:r w:rsidRPr="00CF3E61">
        <w:rPr>
          <w:rFonts w:asciiTheme="majorBidi" w:hAnsiTheme="majorBidi" w:cstheme="majorBidi"/>
          <w:sz w:val="24"/>
          <w:szCs w:val="24"/>
        </w:rPr>
        <w:t>Nanobody</w:t>
      </w:r>
      <w:proofErr w:type="spellEnd"/>
      <w:r w:rsidRPr="00CF3E61">
        <w:rPr>
          <w:rFonts w:asciiTheme="majorBidi" w:hAnsiTheme="majorBidi" w:cstheme="majorBidi"/>
          <w:sz w:val="24"/>
          <w:szCs w:val="24"/>
        </w:rPr>
        <w:t xml:space="preserve"> and DLL4 we</w:t>
      </w:r>
      <w:r w:rsidR="00523AB4">
        <w:rPr>
          <w:rFonts w:asciiTheme="majorBidi" w:hAnsiTheme="majorBidi" w:cstheme="majorBidi"/>
          <w:sz w:val="24"/>
          <w:szCs w:val="24"/>
        </w:rPr>
        <w:t>re assessed by western blot</w:t>
      </w:r>
      <w:r w:rsidRPr="00CF3E61">
        <w:rPr>
          <w:rFonts w:asciiTheme="majorBidi" w:hAnsiTheme="majorBidi" w:cstheme="majorBidi"/>
          <w:sz w:val="24"/>
          <w:szCs w:val="24"/>
        </w:rPr>
        <w:t>. The functional assessments were examined by apoptosis, tube formation and CAM assays.</w:t>
      </w:r>
    </w:p>
    <w:p w:rsidR="00CF3E61" w:rsidRPr="00CF3E61" w:rsidRDefault="00CF3E61" w:rsidP="00523AB4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F3E61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CF3E61">
        <w:rPr>
          <w:rFonts w:asciiTheme="majorBidi" w:hAnsiTheme="majorBidi" w:cstheme="majorBidi"/>
          <w:sz w:val="24"/>
          <w:szCs w:val="24"/>
        </w:rPr>
        <w:t xml:space="preserve"> We showed that 3Nb3 specifically binds DLL4 </w:t>
      </w:r>
      <w:r w:rsidR="00523AB4">
        <w:rPr>
          <w:rFonts w:asciiTheme="majorBidi" w:hAnsiTheme="majorBidi" w:cstheme="majorBidi"/>
          <w:sz w:val="24"/>
          <w:szCs w:val="24"/>
        </w:rPr>
        <w:t>on the</w:t>
      </w:r>
      <w:r w:rsidRPr="00CF3E61">
        <w:rPr>
          <w:rFonts w:asciiTheme="majorBidi" w:hAnsiTheme="majorBidi" w:cstheme="majorBidi"/>
          <w:sz w:val="24"/>
          <w:szCs w:val="24"/>
        </w:rPr>
        <w:t xml:space="preserve"> MKN cell</w:t>
      </w:r>
      <w:r w:rsidR="00523AB4">
        <w:rPr>
          <w:rFonts w:asciiTheme="majorBidi" w:hAnsiTheme="majorBidi" w:cstheme="majorBidi"/>
          <w:sz w:val="24"/>
          <w:szCs w:val="24"/>
        </w:rPr>
        <w:t>s</w:t>
      </w:r>
      <w:r w:rsidRPr="00CF3E61">
        <w:rPr>
          <w:rFonts w:asciiTheme="majorBidi" w:hAnsiTheme="majorBidi" w:cstheme="majorBidi"/>
          <w:sz w:val="24"/>
          <w:szCs w:val="24"/>
        </w:rPr>
        <w:t xml:space="preserve">. Furthermore, </w:t>
      </w:r>
      <w:proofErr w:type="spellStart"/>
      <w:r w:rsidR="00523AB4" w:rsidRPr="00CF3E61">
        <w:rPr>
          <w:rFonts w:asciiTheme="majorBidi" w:hAnsiTheme="majorBidi" w:cstheme="majorBidi"/>
          <w:sz w:val="24"/>
          <w:szCs w:val="24"/>
        </w:rPr>
        <w:t>Nanobody</w:t>
      </w:r>
      <w:proofErr w:type="spellEnd"/>
      <w:r w:rsidR="00523AB4" w:rsidRPr="00CF3E61">
        <w:rPr>
          <w:rFonts w:asciiTheme="majorBidi" w:hAnsiTheme="majorBidi" w:cstheme="majorBidi"/>
          <w:sz w:val="24"/>
          <w:szCs w:val="24"/>
        </w:rPr>
        <w:t xml:space="preserve"> </w:t>
      </w:r>
      <w:r w:rsidRPr="00CF3E61">
        <w:rPr>
          <w:rFonts w:asciiTheme="majorBidi" w:hAnsiTheme="majorBidi" w:cstheme="majorBidi"/>
          <w:sz w:val="24"/>
          <w:szCs w:val="24"/>
        </w:rPr>
        <w:t>significantly</w:t>
      </w:r>
      <w:r w:rsidRPr="00CF3E6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CF3E61">
        <w:rPr>
          <w:rFonts w:asciiTheme="majorBidi" w:hAnsiTheme="majorBidi" w:cstheme="majorBidi"/>
          <w:sz w:val="24"/>
          <w:szCs w:val="24"/>
        </w:rPr>
        <w:t xml:space="preserve">inhibited proliferation and the maturation of capillary-like structures of cells. The </w:t>
      </w:r>
      <w:proofErr w:type="spellStart"/>
      <w:r w:rsidR="00523AB4" w:rsidRPr="00CF3E61">
        <w:rPr>
          <w:rFonts w:asciiTheme="majorBidi" w:hAnsiTheme="majorBidi" w:cstheme="majorBidi"/>
          <w:sz w:val="24"/>
          <w:szCs w:val="24"/>
        </w:rPr>
        <w:t>Nanobody</w:t>
      </w:r>
      <w:proofErr w:type="spellEnd"/>
      <w:r w:rsidR="00523AB4" w:rsidRPr="00CF3E61">
        <w:rPr>
          <w:rFonts w:asciiTheme="majorBidi" w:hAnsiTheme="majorBidi" w:cstheme="majorBidi"/>
          <w:sz w:val="24"/>
          <w:szCs w:val="24"/>
        </w:rPr>
        <w:t xml:space="preserve"> </w:t>
      </w:r>
      <w:r w:rsidRPr="00CF3E61">
        <w:rPr>
          <w:rFonts w:asciiTheme="majorBidi" w:hAnsiTheme="majorBidi" w:cstheme="majorBidi"/>
          <w:sz w:val="24"/>
          <w:szCs w:val="24"/>
        </w:rPr>
        <w:t>also could inhibit the vascular maturation in</w:t>
      </w:r>
      <w:r w:rsidRPr="00CF3E6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CF3E61">
        <w:rPr>
          <w:rFonts w:asciiTheme="majorBidi" w:hAnsiTheme="majorBidi" w:cstheme="majorBidi"/>
          <w:sz w:val="24"/>
          <w:szCs w:val="24"/>
        </w:rPr>
        <w:t xml:space="preserve">the chicken </w:t>
      </w:r>
      <w:proofErr w:type="spellStart"/>
      <w:r w:rsidRPr="00CF3E61">
        <w:rPr>
          <w:rFonts w:asciiTheme="majorBidi" w:hAnsiTheme="majorBidi" w:cstheme="majorBidi"/>
          <w:sz w:val="24"/>
          <w:szCs w:val="24"/>
        </w:rPr>
        <w:t>chorioallantoic</w:t>
      </w:r>
      <w:proofErr w:type="spellEnd"/>
      <w:r w:rsidRPr="00CF3E61">
        <w:rPr>
          <w:rFonts w:asciiTheme="majorBidi" w:hAnsiTheme="majorBidi" w:cstheme="majorBidi"/>
          <w:sz w:val="24"/>
          <w:szCs w:val="24"/>
        </w:rPr>
        <w:t xml:space="preserve"> membrane.</w:t>
      </w:r>
      <w:r w:rsidRPr="00CF3E61">
        <w:t xml:space="preserve"> </w:t>
      </w:r>
    </w:p>
    <w:p w:rsidR="00CF3E61" w:rsidRPr="00CF3E61" w:rsidRDefault="00CF3E61" w:rsidP="00CF3E61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F3E61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 w:rsidRPr="00CF3E61">
        <w:rPr>
          <w:rFonts w:asciiTheme="majorBidi" w:hAnsiTheme="majorBidi" w:cstheme="majorBidi"/>
          <w:sz w:val="24"/>
          <w:szCs w:val="24"/>
        </w:rPr>
        <w:t xml:space="preserve"> These data demonstrated the potential of our </w:t>
      </w:r>
      <w:proofErr w:type="spellStart"/>
      <w:r w:rsidRPr="00CF3E61">
        <w:rPr>
          <w:rFonts w:asciiTheme="majorBidi" w:hAnsiTheme="majorBidi" w:cstheme="majorBidi"/>
          <w:sz w:val="24"/>
          <w:szCs w:val="24"/>
        </w:rPr>
        <w:t>Nanobody</w:t>
      </w:r>
      <w:proofErr w:type="spellEnd"/>
      <w:r w:rsidRPr="00CF3E61">
        <w:rPr>
          <w:rFonts w:asciiTheme="majorBidi" w:hAnsiTheme="majorBidi" w:cstheme="majorBidi"/>
          <w:sz w:val="24"/>
          <w:szCs w:val="24"/>
        </w:rPr>
        <w:t xml:space="preserve"> is effective in targeting DLL4 and it may provide a basis for the development of novel therapeutic toll to inhibit growth and angiogenesis of tumors.</w:t>
      </w:r>
    </w:p>
    <w:p w:rsidR="00883D2C" w:rsidRPr="00883D2C" w:rsidRDefault="00CF3E61" w:rsidP="00883D2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AF0C0A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3D2C" w:rsidRPr="00883D2C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Angiogenesis; Cancer stem cell biomarker; Delta like ligand 4; </w:t>
      </w:r>
      <w:proofErr w:type="spellStart"/>
      <w:r w:rsidR="00883D2C" w:rsidRPr="00883D2C">
        <w:rPr>
          <w:rFonts w:ascii="Times New Roman" w:eastAsia="Times New Roman" w:hAnsi="Times New Roman" w:cs="Times New Roman"/>
          <w:sz w:val="24"/>
          <w:szCs w:val="24"/>
          <w:lang w:bidi="ar-SA"/>
        </w:rPr>
        <w:t>Nanobody</w:t>
      </w:r>
      <w:proofErr w:type="spellEnd"/>
    </w:p>
    <w:p w:rsidR="00883D2C" w:rsidRPr="00883D2C" w:rsidRDefault="00883D2C" w:rsidP="00883D2C">
      <w:pPr>
        <w:bidi w:val="0"/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sectPr w:rsidR="00883D2C" w:rsidRPr="00883D2C" w:rsidSect="002C61A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05C04"/>
    <w:multiLevelType w:val="hybridMultilevel"/>
    <w:tmpl w:val="EB1C5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16845"/>
    <w:multiLevelType w:val="hybridMultilevel"/>
    <w:tmpl w:val="EB1C5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66096E"/>
    <w:multiLevelType w:val="hybridMultilevel"/>
    <w:tmpl w:val="FF12E8CC"/>
    <w:lvl w:ilvl="0" w:tplc="936E807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3E"/>
    <w:rsid w:val="00090131"/>
    <w:rsid w:val="000A5B7F"/>
    <w:rsid w:val="000E1FE5"/>
    <w:rsid w:val="000E2C1D"/>
    <w:rsid w:val="000F5D8C"/>
    <w:rsid w:val="001059EF"/>
    <w:rsid w:val="0021643E"/>
    <w:rsid w:val="0029405F"/>
    <w:rsid w:val="002C61AA"/>
    <w:rsid w:val="003121C7"/>
    <w:rsid w:val="003476E8"/>
    <w:rsid w:val="00482EE9"/>
    <w:rsid w:val="00523AB4"/>
    <w:rsid w:val="00632E7D"/>
    <w:rsid w:val="00636365"/>
    <w:rsid w:val="006D4469"/>
    <w:rsid w:val="00786FB9"/>
    <w:rsid w:val="007B0A92"/>
    <w:rsid w:val="00883D2C"/>
    <w:rsid w:val="008A58F9"/>
    <w:rsid w:val="008F1C43"/>
    <w:rsid w:val="00903674"/>
    <w:rsid w:val="00962A6A"/>
    <w:rsid w:val="00974C17"/>
    <w:rsid w:val="0098315C"/>
    <w:rsid w:val="009A25E4"/>
    <w:rsid w:val="00A13339"/>
    <w:rsid w:val="00A13674"/>
    <w:rsid w:val="00AC434E"/>
    <w:rsid w:val="00AD1A9E"/>
    <w:rsid w:val="00AD6C37"/>
    <w:rsid w:val="00AF0C0A"/>
    <w:rsid w:val="00BB7882"/>
    <w:rsid w:val="00C546C7"/>
    <w:rsid w:val="00C737EA"/>
    <w:rsid w:val="00CF3E61"/>
    <w:rsid w:val="00E04218"/>
    <w:rsid w:val="00E93535"/>
    <w:rsid w:val="00ED2035"/>
    <w:rsid w:val="00F27838"/>
    <w:rsid w:val="00F370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280AA"/>
  <w15:docId w15:val="{F06C11C7-B8E7-4517-97F2-49CA4A2D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218"/>
    <w:pPr>
      <w:bidi/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883D2C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Heading3">
    <w:name w:val="heading 3"/>
    <w:basedOn w:val="Normal"/>
    <w:link w:val="Heading3Char"/>
    <w:uiPriority w:val="9"/>
    <w:qFormat/>
    <w:rsid w:val="00883D2C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paragraph" w:styleId="Heading4">
    <w:name w:val="heading 4"/>
    <w:basedOn w:val="Normal"/>
    <w:link w:val="Heading4Char"/>
    <w:uiPriority w:val="9"/>
    <w:qFormat/>
    <w:rsid w:val="00883D2C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6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643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83D2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883D2C"/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883D2C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883D2C"/>
    <w:rPr>
      <w:color w:val="0000FF"/>
      <w:u w:val="single"/>
    </w:rPr>
  </w:style>
  <w:style w:type="character" w:customStyle="1" w:styleId="highlight">
    <w:name w:val="highlight"/>
    <w:basedOn w:val="DefaultParagraphFont"/>
    <w:rsid w:val="00883D2C"/>
  </w:style>
  <w:style w:type="character" w:customStyle="1" w:styleId="ui-ncbitoggler-master-text">
    <w:name w:val="ui-ncbitoggler-master-text"/>
    <w:basedOn w:val="DefaultParagraphFont"/>
    <w:rsid w:val="00883D2C"/>
  </w:style>
  <w:style w:type="paragraph" w:styleId="NormalWeb">
    <w:name w:val="Normal (Web)"/>
    <w:basedOn w:val="Normal"/>
    <w:uiPriority w:val="99"/>
    <w:semiHidden/>
    <w:unhideWhenUsed/>
    <w:rsid w:val="00883D2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5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6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Zarnani%20AH%5BAuthor%5D&amp;cauthor=true&amp;cauthor_uid=2924675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Shokrgozar%20MA%5BAuthor%5D&amp;cauthor=true&amp;cauthor_uid=292467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Habibi-Anbouhi%20M%5BAuthor%5D&amp;cauthor=true&amp;cauthor_uid=2924675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cbi.nlm.nih.gov/pubmed/?term=Tajik%20N%5BAuthor%5D&amp;cauthor=true&amp;cauthor_uid=2924675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Behdani%20M%5BAuthor%5D&amp;cauthor=true&amp;cauthor_uid=292467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Mahmoud Hashemi</dc:creator>
  <cp:lastModifiedBy>Bah</cp:lastModifiedBy>
  <cp:revision>5</cp:revision>
  <cp:lastPrinted>2017-12-24T06:17:00Z</cp:lastPrinted>
  <dcterms:created xsi:type="dcterms:W3CDTF">2018-12-01T10:00:00Z</dcterms:created>
  <dcterms:modified xsi:type="dcterms:W3CDTF">2019-01-22T09:43:00Z</dcterms:modified>
</cp:coreProperties>
</file>