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467982" w14:textId="77777777" w:rsidR="008836FE" w:rsidRPr="00CC50CD" w:rsidRDefault="008836FE" w:rsidP="008836FE">
      <w:pPr>
        <w:jc w:val="both"/>
        <w:rPr>
          <w:rFonts w:ascii="Tahoma" w:hAnsi="Tahoma" w:cs="Tahoma"/>
          <w:b/>
          <w:sz w:val="20"/>
          <w:szCs w:val="20"/>
        </w:rPr>
      </w:pPr>
      <w:r w:rsidRPr="00CC50CD">
        <w:rPr>
          <w:rFonts w:ascii="Tahoma" w:hAnsi="Tahoma" w:cs="Tahoma"/>
          <w:b/>
          <w:sz w:val="20"/>
          <w:szCs w:val="20"/>
        </w:rPr>
        <w:t xml:space="preserve">C-REACTIVE PROTEIN AND IMMUNOGLOBULIN ISOTYPES CONCENTRATIONS IN </w:t>
      </w:r>
      <w:r w:rsidRPr="00CC50CD">
        <w:rPr>
          <w:rFonts w:ascii="Tahoma" w:hAnsi="Tahoma" w:cs="Tahoma"/>
          <w:b/>
          <w:i/>
          <w:sz w:val="20"/>
          <w:szCs w:val="20"/>
        </w:rPr>
        <w:t>HELICOBACTER PYLORI</w:t>
      </w:r>
      <w:r w:rsidRPr="00CC50CD">
        <w:rPr>
          <w:rFonts w:ascii="Tahoma" w:hAnsi="Tahoma" w:cs="Tahoma"/>
          <w:b/>
          <w:sz w:val="20"/>
          <w:szCs w:val="20"/>
        </w:rPr>
        <w:t xml:space="preserve"> SERO-POSITIVE CHILDREN ATTENDING A TERTIARY HEALTH INSTITUTION IN UYO, NIGERIA</w:t>
      </w:r>
    </w:p>
    <w:p w14:paraId="4EB07825" w14:textId="77777777" w:rsidR="008836FE" w:rsidRPr="00CC50CD" w:rsidRDefault="008836FE" w:rsidP="008836FE">
      <w:pPr>
        <w:jc w:val="both"/>
        <w:rPr>
          <w:rFonts w:ascii="Tahoma" w:hAnsi="Tahoma" w:cs="Tahoma"/>
          <w:b/>
          <w:sz w:val="20"/>
          <w:szCs w:val="20"/>
        </w:rPr>
      </w:pPr>
    </w:p>
    <w:p w14:paraId="62FE1076" w14:textId="77777777" w:rsidR="008836FE" w:rsidRPr="00CC50CD" w:rsidRDefault="008836FE" w:rsidP="008836FE">
      <w:pPr>
        <w:jc w:val="both"/>
        <w:rPr>
          <w:rFonts w:ascii="Tahoma" w:hAnsi="Tahoma" w:cs="Tahoma"/>
          <w:sz w:val="20"/>
          <w:szCs w:val="20"/>
        </w:rPr>
      </w:pPr>
      <w:r w:rsidRPr="00CC50CD">
        <w:rPr>
          <w:rFonts w:ascii="Tahoma" w:hAnsi="Tahoma" w:cs="Tahoma"/>
          <w:sz w:val="20"/>
          <w:szCs w:val="20"/>
        </w:rPr>
        <w:t>Itemobong S. Ekaidem</w:t>
      </w:r>
      <w:r w:rsidRPr="00CC50CD">
        <w:rPr>
          <w:rFonts w:ascii="Tahoma" w:hAnsi="Tahoma" w:cs="Tahoma"/>
          <w:sz w:val="20"/>
          <w:szCs w:val="20"/>
          <w:vertAlign w:val="superscript"/>
        </w:rPr>
        <w:t>1*</w:t>
      </w:r>
      <w:r w:rsidRPr="00CC50CD">
        <w:rPr>
          <w:rFonts w:ascii="Tahoma" w:hAnsi="Tahoma" w:cs="Tahoma"/>
          <w:sz w:val="20"/>
          <w:szCs w:val="20"/>
        </w:rPr>
        <w:t>, Ofonime T. Dixon-Umo</w:t>
      </w:r>
      <w:r w:rsidRPr="00CC50CD">
        <w:rPr>
          <w:rFonts w:ascii="Tahoma" w:hAnsi="Tahoma" w:cs="Tahoma"/>
          <w:sz w:val="20"/>
          <w:szCs w:val="20"/>
          <w:vertAlign w:val="superscript"/>
        </w:rPr>
        <w:t>2</w:t>
      </w:r>
      <w:r w:rsidRPr="00CC50CD">
        <w:rPr>
          <w:rFonts w:ascii="Tahoma" w:hAnsi="Tahoma" w:cs="Tahoma"/>
          <w:sz w:val="20"/>
          <w:szCs w:val="20"/>
        </w:rPr>
        <w:t>, Anthony J. Usoroh</w:t>
      </w:r>
      <w:r w:rsidRPr="00CC50CD">
        <w:rPr>
          <w:rFonts w:ascii="Tahoma" w:hAnsi="Tahoma" w:cs="Tahoma"/>
          <w:sz w:val="20"/>
          <w:szCs w:val="20"/>
          <w:vertAlign w:val="superscript"/>
        </w:rPr>
        <w:t>3</w:t>
      </w:r>
      <w:r w:rsidRPr="00CC50CD">
        <w:rPr>
          <w:rFonts w:ascii="Tahoma" w:hAnsi="Tahoma" w:cs="Tahoma"/>
          <w:sz w:val="20"/>
          <w:szCs w:val="20"/>
        </w:rPr>
        <w:t xml:space="preserve"> and Enobong E. Ikpeme</w:t>
      </w:r>
      <w:r w:rsidRPr="00CC50CD">
        <w:rPr>
          <w:rFonts w:ascii="Tahoma" w:hAnsi="Tahoma" w:cs="Tahoma"/>
          <w:sz w:val="20"/>
          <w:szCs w:val="20"/>
          <w:vertAlign w:val="superscript"/>
        </w:rPr>
        <w:t>2</w:t>
      </w:r>
    </w:p>
    <w:p w14:paraId="3A60766A" w14:textId="77777777" w:rsidR="008836FE" w:rsidRPr="00CC50CD" w:rsidRDefault="008836FE" w:rsidP="008836FE">
      <w:pPr>
        <w:jc w:val="both"/>
        <w:rPr>
          <w:rFonts w:ascii="Tahoma" w:hAnsi="Tahoma" w:cs="Tahoma"/>
          <w:sz w:val="20"/>
          <w:szCs w:val="20"/>
        </w:rPr>
      </w:pPr>
      <w:r w:rsidRPr="00CC50CD">
        <w:rPr>
          <w:rFonts w:ascii="Tahoma" w:hAnsi="Tahoma" w:cs="Tahoma"/>
          <w:sz w:val="20"/>
          <w:szCs w:val="20"/>
        </w:rPr>
        <w:t>1.</w:t>
      </w:r>
      <w:r w:rsidRPr="00CC50CD">
        <w:rPr>
          <w:rFonts w:ascii="Tahoma" w:hAnsi="Tahoma" w:cs="Tahoma"/>
          <w:sz w:val="20"/>
          <w:szCs w:val="20"/>
        </w:rPr>
        <w:tab/>
        <w:t xml:space="preserve">Department of Chemical Pathology, Faculty of Clinical Sciences, College of Health Sciences, University of Uyo, Nigeria; and </w:t>
      </w:r>
    </w:p>
    <w:p w14:paraId="21ABA1EB" w14:textId="77777777" w:rsidR="008836FE" w:rsidRPr="00CC50CD" w:rsidRDefault="008836FE" w:rsidP="008836FE">
      <w:pPr>
        <w:jc w:val="both"/>
        <w:rPr>
          <w:rFonts w:ascii="Tahoma" w:hAnsi="Tahoma" w:cs="Tahoma"/>
          <w:sz w:val="20"/>
          <w:szCs w:val="20"/>
        </w:rPr>
      </w:pPr>
      <w:r w:rsidRPr="00CC50CD">
        <w:rPr>
          <w:rFonts w:ascii="Tahoma" w:hAnsi="Tahoma" w:cs="Tahoma"/>
          <w:sz w:val="20"/>
          <w:szCs w:val="20"/>
        </w:rPr>
        <w:t>Institute of Biomedical Research and Innovasions, College of Health Sciences, University of Uyo, Nigeria</w:t>
      </w:r>
    </w:p>
    <w:p w14:paraId="506F6CF1" w14:textId="77777777" w:rsidR="008836FE" w:rsidRPr="00CC50CD" w:rsidRDefault="008836FE" w:rsidP="008836FE">
      <w:pPr>
        <w:jc w:val="both"/>
        <w:rPr>
          <w:rFonts w:ascii="Tahoma" w:hAnsi="Tahoma" w:cs="Tahoma"/>
          <w:sz w:val="20"/>
          <w:szCs w:val="20"/>
        </w:rPr>
      </w:pPr>
      <w:r w:rsidRPr="00CC50CD">
        <w:rPr>
          <w:rFonts w:ascii="Tahoma" w:hAnsi="Tahoma" w:cs="Tahoma"/>
          <w:sz w:val="20"/>
          <w:szCs w:val="20"/>
        </w:rPr>
        <w:t>2.</w:t>
      </w:r>
      <w:r w:rsidRPr="00CC50CD">
        <w:rPr>
          <w:rFonts w:ascii="Tahoma" w:hAnsi="Tahoma" w:cs="Tahoma"/>
          <w:sz w:val="20"/>
          <w:szCs w:val="20"/>
        </w:rPr>
        <w:tab/>
        <w:t>Department of Paediatrics, Faculty of Clinical Sciences, College of Health Sciences, University of Uyo, Nigeria;</w:t>
      </w:r>
    </w:p>
    <w:p w14:paraId="5DB338B5" w14:textId="77777777" w:rsidR="008836FE" w:rsidRPr="00CC50CD" w:rsidRDefault="008836FE" w:rsidP="008836FE">
      <w:pPr>
        <w:jc w:val="both"/>
        <w:rPr>
          <w:rFonts w:ascii="Tahoma" w:hAnsi="Tahoma" w:cs="Tahoma"/>
          <w:sz w:val="20"/>
          <w:szCs w:val="20"/>
        </w:rPr>
      </w:pPr>
      <w:r w:rsidRPr="00CC50CD">
        <w:rPr>
          <w:rFonts w:ascii="Tahoma" w:hAnsi="Tahoma" w:cs="Tahoma"/>
          <w:sz w:val="20"/>
          <w:szCs w:val="20"/>
        </w:rPr>
        <w:t>3. Department of Chemical Pathology, Faculty of Clinical Sciences, College of Health Sciences, University of Uyo, Nigeria;</w:t>
      </w:r>
    </w:p>
    <w:p w14:paraId="20699AF4" w14:textId="77777777" w:rsidR="008836FE" w:rsidRPr="00CC50CD" w:rsidRDefault="008836FE" w:rsidP="008836FE">
      <w:pPr>
        <w:jc w:val="both"/>
        <w:rPr>
          <w:rFonts w:ascii="Tahoma" w:hAnsi="Tahoma" w:cs="Tahoma"/>
          <w:sz w:val="20"/>
          <w:szCs w:val="20"/>
        </w:rPr>
      </w:pPr>
      <w:r w:rsidRPr="00CC50CD">
        <w:rPr>
          <w:rFonts w:ascii="Tahoma" w:hAnsi="Tahoma" w:cs="Tahoma"/>
          <w:sz w:val="20"/>
          <w:szCs w:val="20"/>
        </w:rPr>
        <w:t xml:space="preserve">*Corresponding author: Itemobong S. Ekaidem. Department of Chemical Pathology, Faculty of Clinical Sciences, College of Health Sciences, University of Uyo, Nigeria; and </w:t>
      </w:r>
    </w:p>
    <w:p w14:paraId="0E6A3A8A" w14:textId="77777777" w:rsidR="008836FE" w:rsidRPr="00CC50CD" w:rsidRDefault="008836FE" w:rsidP="008836FE">
      <w:pPr>
        <w:jc w:val="both"/>
        <w:rPr>
          <w:rFonts w:ascii="Tahoma" w:hAnsi="Tahoma" w:cs="Tahoma"/>
          <w:sz w:val="20"/>
          <w:szCs w:val="20"/>
        </w:rPr>
      </w:pPr>
      <w:r w:rsidRPr="00CC50CD">
        <w:rPr>
          <w:rFonts w:ascii="Tahoma" w:hAnsi="Tahoma" w:cs="Tahoma"/>
          <w:sz w:val="20"/>
          <w:szCs w:val="20"/>
        </w:rPr>
        <w:t>Institute of Biomedical Research and Innovasions, College of Health Sciences, University of Uyo, Nigeria</w:t>
      </w:r>
    </w:p>
    <w:p w14:paraId="1C5486F1" w14:textId="77777777" w:rsidR="008836FE" w:rsidRPr="00CC50CD" w:rsidRDefault="008836FE" w:rsidP="008836FE">
      <w:pPr>
        <w:jc w:val="both"/>
        <w:rPr>
          <w:rFonts w:ascii="Tahoma" w:hAnsi="Tahoma" w:cs="Tahoma"/>
          <w:sz w:val="20"/>
          <w:szCs w:val="20"/>
        </w:rPr>
      </w:pPr>
      <w:r w:rsidRPr="00CC50CD">
        <w:rPr>
          <w:rFonts w:ascii="Tahoma" w:hAnsi="Tahoma" w:cs="Tahoma"/>
          <w:sz w:val="20"/>
          <w:szCs w:val="20"/>
        </w:rPr>
        <w:t>Phone: +2348052212504, +2347012302727</w:t>
      </w:r>
    </w:p>
    <w:p w14:paraId="71C997FA" w14:textId="77777777" w:rsidR="008836FE" w:rsidRPr="00CC50CD" w:rsidRDefault="008836FE" w:rsidP="008836FE">
      <w:pPr>
        <w:jc w:val="both"/>
        <w:rPr>
          <w:rFonts w:ascii="Tahoma" w:hAnsi="Tahoma" w:cs="Tahoma"/>
          <w:sz w:val="20"/>
          <w:szCs w:val="20"/>
        </w:rPr>
      </w:pPr>
      <w:r w:rsidRPr="00CC50CD">
        <w:rPr>
          <w:rFonts w:ascii="Tahoma" w:hAnsi="Tahoma" w:cs="Tahoma"/>
          <w:sz w:val="20"/>
          <w:szCs w:val="20"/>
        </w:rPr>
        <w:t xml:space="preserve">E-mail: </w:t>
      </w:r>
      <w:hyperlink r:id="rId6" w:history="1">
        <w:r w:rsidRPr="00CC50CD">
          <w:rPr>
            <w:rStyle w:val="Hyperlink"/>
            <w:rFonts w:ascii="Tahoma" w:hAnsi="Tahoma" w:cs="Tahoma"/>
            <w:sz w:val="20"/>
            <w:szCs w:val="20"/>
          </w:rPr>
          <w:t>seityjen@gmail.com</w:t>
        </w:r>
      </w:hyperlink>
      <w:r w:rsidRPr="00CC50CD">
        <w:rPr>
          <w:rFonts w:ascii="Tahoma" w:hAnsi="Tahoma" w:cs="Tahoma"/>
          <w:sz w:val="20"/>
          <w:szCs w:val="20"/>
        </w:rPr>
        <w:t xml:space="preserve">; </w:t>
      </w:r>
      <w:hyperlink r:id="rId7" w:history="1">
        <w:r w:rsidRPr="00CC50CD">
          <w:rPr>
            <w:rStyle w:val="Hyperlink"/>
            <w:rFonts w:ascii="Tahoma" w:hAnsi="Tahoma" w:cs="Tahoma"/>
            <w:sz w:val="20"/>
            <w:szCs w:val="20"/>
          </w:rPr>
          <w:t>itemobongekaidem@uniuyo.edu.ng</w:t>
        </w:r>
      </w:hyperlink>
      <w:r w:rsidRPr="00CC50CD">
        <w:rPr>
          <w:rFonts w:ascii="Tahoma" w:hAnsi="Tahoma" w:cs="Tahoma"/>
          <w:sz w:val="20"/>
          <w:szCs w:val="20"/>
        </w:rPr>
        <w:t xml:space="preserve"> </w:t>
      </w:r>
    </w:p>
    <w:p w14:paraId="5DD83626" w14:textId="77777777" w:rsidR="008836FE" w:rsidRPr="00CC50CD" w:rsidRDefault="008836FE" w:rsidP="008836FE">
      <w:pPr>
        <w:jc w:val="both"/>
        <w:rPr>
          <w:rFonts w:ascii="Tahoma" w:hAnsi="Tahoma" w:cs="Tahoma"/>
          <w:sz w:val="20"/>
          <w:szCs w:val="20"/>
        </w:rPr>
      </w:pPr>
    </w:p>
    <w:p w14:paraId="4AA23209" w14:textId="77777777" w:rsidR="008836FE" w:rsidRPr="00CC50CD" w:rsidRDefault="008836FE" w:rsidP="008836FE">
      <w:pPr>
        <w:rPr>
          <w:sz w:val="20"/>
          <w:szCs w:val="20"/>
        </w:rPr>
      </w:pPr>
    </w:p>
    <w:p w14:paraId="6AA9112E" w14:textId="77777777" w:rsidR="008836FE" w:rsidRPr="00CC50CD" w:rsidRDefault="008836FE" w:rsidP="008836FE">
      <w:pPr>
        <w:rPr>
          <w:b/>
          <w:sz w:val="20"/>
          <w:szCs w:val="20"/>
        </w:rPr>
      </w:pPr>
      <w:r w:rsidRPr="00CC50CD">
        <w:rPr>
          <w:b/>
          <w:sz w:val="20"/>
          <w:szCs w:val="20"/>
        </w:rPr>
        <w:t>ABSTRACT</w:t>
      </w:r>
    </w:p>
    <w:p w14:paraId="7304F0A4" w14:textId="52EB2C50" w:rsidR="008836FE" w:rsidRPr="00CC50CD" w:rsidRDefault="008836FE" w:rsidP="008836FE">
      <w:pPr>
        <w:jc w:val="both"/>
        <w:rPr>
          <w:rFonts w:ascii="Tahoma" w:hAnsi="Tahoma" w:cs="Tahoma"/>
          <w:sz w:val="20"/>
          <w:szCs w:val="20"/>
        </w:rPr>
      </w:pPr>
      <w:r w:rsidRPr="00CC50CD">
        <w:rPr>
          <w:rFonts w:ascii="Tahoma" w:hAnsi="Tahoma" w:cs="Tahoma"/>
          <w:b/>
          <w:sz w:val="20"/>
          <w:szCs w:val="20"/>
        </w:rPr>
        <w:t>Background:</w:t>
      </w:r>
      <w:r w:rsidRPr="00CC50CD">
        <w:rPr>
          <w:rFonts w:ascii="Tahoma" w:hAnsi="Tahoma" w:cs="Tahoma"/>
          <w:sz w:val="20"/>
          <w:szCs w:val="20"/>
        </w:rPr>
        <w:t xml:space="preserve"> C-reactive protein (CRP)is an inflammatory acute phase protein known to support active immunological </w:t>
      </w:r>
      <w:r w:rsidRPr="00CC50CD">
        <w:rPr>
          <w:rFonts w:ascii="Tahoma" w:hAnsi="Tahoma" w:cs="Tahoma"/>
          <w:color w:val="000000" w:themeColor="text1"/>
          <w:sz w:val="20"/>
          <w:szCs w:val="20"/>
        </w:rPr>
        <w:t xml:space="preserve">responses during infection or tissue injury. </w:t>
      </w:r>
      <w:r w:rsidRPr="00CC50CD">
        <w:rPr>
          <w:rFonts w:ascii="Tahoma" w:hAnsi="Tahoma" w:cs="Tahoma"/>
          <w:b/>
          <w:sz w:val="20"/>
          <w:szCs w:val="20"/>
        </w:rPr>
        <w:t>Aim:</w:t>
      </w:r>
      <w:r w:rsidRPr="00CC50CD">
        <w:rPr>
          <w:rFonts w:ascii="Tahoma" w:hAnsi="Tahoma" w:cs="Tahoma"/>
          <w:sz w:val="20"/>
          <w:szCs w:val="20"/>
        </w:rPr>
        <w:t xml:space="preserve"> This study aimed to determine the concentrations of CRP, IgM and IgG immunoglobulin isotypes in children with </w:t>
      </w:r>
      <w:r w:rsidRPr="00CC50CD">
        <w:rPr>
          <w:rFonts w:ascii="Tahoma" w:hAnsi="Tahoma" w:cs="Tahoma"/>
          <w:i/>
          <w:sz w:val="20"/>
          <w:szCs w:val="20"/>
        </w:rPr>
        <w:t>Helicobacter pylori</w:t>
      </w:r>
      <w:r w:rsidRPr="00CC50CD">
        <w:rPr>
          <w:rFonts w:ascii="Tahoma" w:hAnsi="Tahoma" w:cs="Tahoma"/>
          <w:sz w:val="20"/>
          <w:szCs w:val="20"/>
        </w:rPr>
        <w:t xml:space="preserve"> infection with a view to assessing the extent of infection and host immune and inflammatory responses.</w:t>
      </w:r>
      <w:r w:rsidRPr="00CC50CD">
        <w:rPr>
          <w:rFonts w:ascii="Tahoma" w:hAnsi="Tahoma" w:cs="Tahoma"/>
          <w:b/>
          <w:sz w:val="20"/>
          <w:szCs w:val="20"/>
        </w:rPr>
        <w:t xml:space="preserve"> Method:</w:t>
      </w:r>
      <w:r w:rsidRPr="00CC50CD">
        <w:rPr>
          <w:rFonts w:ascii="Tahoma" w:hAnsi="Tahoma" w:cs="Tahoma"/>
          <w:sz w:val="20"/>
          <w:szCs w:val="20"/>
        </w:rPr>
        <w:t xml:space="preserve"> seventy-four (74) H. pylori sero-positive children were assigned into 3 groups based on their predominant immunoglobulin isotypes, namely Group 1: IgM +ve, Group 2: IgM+ve/IgG+ve and Group 3: IgG+ve. The concentrations of CRP using </w:t>
      </w:r>
      <w:r w:rsidRPr="00CC50CD">
        <w:rPr>
          <w:rFonts w:ascii="Tahoma" w:hAnsi="Tahoma" w:cs="Tahoma"/>
          <w:sz w:val="20"/>
          <w:szCs w:val="20"/>
        </w:rPr>
        <w:t xml:space="preserve">immunoturbidimetric method, age and body temperature of the children were determined. History of abdominal symptoms were also taken. </w:t>
      </w:r>
      <w:r w:rsidRPr="00CC50CD">
        <w:rPr>
          <w:rFonts w:ascii="Tahoma" w:hAnsi="Tahoma" w:cs="Tahoma"/>
          <w:b/>
          <w:sz w:val="20"/>
          <w:szCs w:val="20"/>
        </w:rPr>
        <w:t xml:space="preserve">Results: </w:t>
      </w:r>
      <w:r w:rsidRPr="00CC50CD">
        <w:rPr>
          <w:rFonts w:ascii="Tahoma" w:hAnsi="Tahoma" w:cs="Tahoma"/>
          <w:sz w:val="20"/>
          <w:szCs w:val="20"/>
        </w:rPr>
        <w:t xml:space="preserve">The results showed that the concentrations of C-reactive protein and IgM isotype of immunoglobulin were significantly higher in groups 1and 2 compared to group 3 (p &lt; 0.000) and correlated positively with each other (r = 0.807, p = 0.000) while IgG isotype was higher at the later phase and showed no correlation with C reactive protein. Abdominal symptoms were higher in (Group 3} the later phase of infection when the concentrations of CRP, IgM isotype and to some extent IgG isotype were declining. </w:t>
      </w:r>
      <w:r w:rsidRPr="00CC50CD">
        <w:rPr>
          <w:rFonts w:ascii="Tahoma" w:hAnsi="Tahoma" w:cs="Tahoma"/>
          <w:b/>
          <w:sz w:val="20"/>
          <w:szCs w:val="20"/>
        </w:rPr>
        <w:t xml:space="preserve">Conclusion: </w:t>
      </w:r>
      <w:r w:rsidRPr="00CC50CD">
        <w:rPr>
          <w:rFonts w:ascii="Tahoma" w:hAnsi="Tahoma" w:cs="Tahoma"/>
          <w:sz w:val="20"/>
          <w:szCs w:val="20"/>
        </w:rPr>
        <w:t xml:space="preserve">Increased concentrations of CRP and immunoglobulin isotypes are not consistent with active bacterial invasion since abdominal symptoms are predominant at the late phase of </w:t>
      </w:r>
      <w:r w:rsidRPr="00CC50CD">
        <w:rPr>
          <w:rFonts w:ascii="Tahoma" w:hAnsi="Tahoma" w:cs="Tahoma"/>
          <w:i/>
          <w:sz w:val="20"/>
          <w:szCs w:val="20"/>
        </w:rPr>
        <w:t>H. pylori</w:t>
      </w:r>
      <w:r w:rsidRPr="00CC50CD">
        <w:rPr>
          <w:rFonts w:ascii="Tahoma" w:hAnsi="Tahoma" w:cs="Tahoma"/>
          <w:sz w:val="20"/>
          <w:szCs w:val="20"/>
        </w:rPr>
        <w:t xml:space="preserve"> infection. Therefore, measurement of CRP along with immunoglobulin isotypes cannot actually be helpful in determining the extent of </w:t>
      </w:r>
      <w:r w:rsidRPr="00CC50CD">
        <w:rPr>
          <w:rFonts w:ascii="Tahoma" w:hAnsi="Tahoma" w:cs="Tahoma"/>
          <w:i/>
          <w:sz w:val="20"/>
          <w:szCs w:val="20"/>
        </w:rPr>
        <w:t>H. pylori</w:t>
      </w:r>
      <w:r w:rsidRPr="00CC50CD">
        <w:rPr>
          <w:rFonts w:ascii="Tahoma" w:hAnsi="Tahoma" w:cs="Tahoma"/>
          <w:sz w:val="20"/>
          <w:szCs w:val="20"/>
        </w:rPr>
        <w:t xml:space="preserve"> invasion. However, the level of host immunological and inflammatory responses can be estimated. </w:t>
      </w:r>
    </w:p>
    <w:p w14:paraId="1F90C91A" w14:textId="77777777" w:rsidR="008836FE" w:rsidRPr="00CC50CD" w:rsidRDefault="008836FE" w:rsidP="008836FE">
      <w:pPr>
        <w:jc w:val="both"/>
        <w:rPr>
          <w:rFonts w:ascii="Tahoma" w:hAnsi="Tahoma" w:cs="Tahoma"/>
          <w:sz w:val="20"/>
          <w:szCs w:val="20"/>
        </w:rPr>
      </w:pPr>
    </w:p>
    <w:p w14:paraId="647D4998" w14:textId="0465ADA4" w:rsidR="006961DA" w:rsidRPr="00CC50CD" w:rsidRDefault="008836FE" w:rsidP="007936B7">
      <w:pPr>
        <w:jc w:val="both"/>
        <w:rPr>
          <w:rFonts w:ascii="Tahoma" w:hAnsi="Tahoma" w:cs="Tahoma"/>
          <w:sz w:val="20"/>
          <w:szCs w:val="20"/>
        </w:rPr>
      </w:pPr>
      <w:r w:rsidRPr="00CC50CD">
        <w:rPr>
          <w:rFonts w:ascii="Tahoma" w:hAnsi="Tahoma" w:cs="Tahoma"/>
          <w:sz w:val="20"/>
          <w:szCs w:val="20"/>
        </w:rPr>
        <w:t>Keywords: C-reactive protein, Immunoglobulin isotypes, Helicobacter pylori, Inflammation, immune response</w:t>
      </w:r>
    </w:p>
    <w:p w14:paraId="4BC327B2" w14:textId="18D6BD92" w:rsidR="00CC50CD" w:rsidRPr="00CC50CD" w:rsidRDefault="00CC50CD" w:rsidP="007936B7">
      <w:pPr>
        <w:jc w:val="both"/>
        <w:rPr>
          <w:rFonts w:ascii="Tahoma" w:hAnsi="Tahoma" w:cs="Tahoma"/>
          <w:color w:val="000000" w:themeColor="text1"/>
          <w:sz w:val="20"/>
          <w:szCs w:val="20"/>
        </w:rPr>
      </w:pPr>
      <w:r w:rsidRPr="00CC50CD">
        <w:rPr>
          <w:rFonts w:ascii="Arial"/>
          <w:b/>
          <w:color w:val="000000" w:themeColor="text1"/>
          <w:sz w:val="20"/>
          <w:szCs w:val="20"/>
        </w:rPr>
        <w:t>Recent Publications</w:t>
      </w:r>
    </w:p>
    <w:p w14:paraId="6D5F04B2" w14:textId="77777777" w:rsidR="00CC50CD" w:rsidRPr="00CC50CD" w:rsidRDefault="00CC50CD" w:rsidP="00CC50CD">
      <w:pPr>
        <w:pStyle w:val="ListParagraph"/>
        <w:numPr>
          <w:ilvl w:val="0"/>
          <w:numId w:val="2"/>
        </w:numPr>
        <w:spacing w:line="240" w:lineRule="auto"/>
        <w:rPr>
          <w:rFonts w:ascii="Arial" w:hAnsi="Arial" w:cs="Arial"/>
          <w:color w:val="000000"/>
          <w:sz w:val="20"/>
          <w:szCs w:val="20"/>
        </w:rPr>
      </w:pPr>
      <w:r w:rsidRPr="00CC50CD">
        <w:rPr>
          <w:rFonts w:ascii="Arial" w:hAnsi="Arial" w:cs="Arial"/>
          <w:color w:val="000000"/>
          <w:sz w:val="20"/>
          <w:szCs w:val="20"/>
        </w:rPr>
        <w:t xml:space="preserve">Akpan, H. D. and </w:t>
      </w:r>
      <w:r w:rsidRPr="00CC50CD">
        <w:rPr>
          <w:rFonts w:ascii="Arial" w:hAnsi="Arial" w:cs="Arial"/>
          <w:b/>
          <w:color w:val="000000"/>
          <w:sz w:val="20"/>
          <w:szCs w:val="20"/>
        </w:rPr>
        <w:t xml:space="preserve">Ekaidem, I. S. </w:t>
      </w:r>
      <w:r w:rsidRPr="00CC50CD">
        <w:rPr>
          <w:rFonts w:ascii="Arial" w:hAnsi="Arial" w:cs="Arial"/>
          <w:color w:val="000000"/>
          <w:sz w:val="20"/>
          <w:szCs w:val="20"/>
        </w:rPr>
        <w:t xml:space="preserve">(2015): Modulation of immunological and haematological disturbances of diabetes mellitus by diets containing combined leaves of </w:t>
      </w:r>
      <w:r w:rsidRPr="00CC50CD">
        <w:rPr>
          <w:rFonts w:ascii="Arial" w:hAnsi="Arial" w:cs="Arial"/>
          <w:i/>
          <w:color w:val="000000"/>
          <w:sz w:val="20"/>
          <w:szCs w:val="20"/>
        </w:rPr>
        <w:t xml:space="preserve">Vernonia amygdalina </w:t>
      </w:r>
      <w:r w:rsidRPr="00CC50CD">
        <w:rPr>
          <w:rFonts w:ascii="Arial" w:hAnsi="Arial" w:cs="Arial"/>
          <w:color w:val="000000"/>
          <w:sz w:val="20"/>
          <w:szCs w:val="20"/>
        </w:rPr>
        <w:t xml:space="preserve">and </w:t>
      </w:r>
      <w:r w:rsidRPr="00CC50CD">
        <w:rPr>
          <w:rFonts w:ascii="Arial" w:hAnsi="Arial" w:cs="Arial"/>
          <w:i/>
          <w:color w:val="000000"/>
          <w:sz w:val="20"/>
          <w:szCs w:val="20"/>
        </w:rPr>
        <w:t>Gongronema latifolium</w:t>
      </w:r>
      <w:r w:rsidRPr="00CC50CD">
        <w:rPr>
          <w:rFonts w:ascii="Arial" w:hAnsi="Arial" w:cs="Arial"/>
          <w:color w:val="000000"/>
          <w:sz w:val="20"/>
          <w:szCs w:val="20"/>
        </w:rPr>
        <w:t xml:space="preserve">. </w:t>
      </w:r>
      <w:r w:rsidRPr="00CC50CD">
        <w:rPr>
          <w:rFonts w:ascii="Arial" w:hAnsi="Arial" w:cs="Arial"/>
          <w:i/>
          <w:color w:val="000000"/>
          <w:sz w:val="20"/>
          <w:szCs w:val="20"/>
        </w:rPr>
        <w:t>British Journal of Applied Science and Technology</w:t>
      </w:r>
      <w:r w:rsidRPr="00CC50CD">
        <w:rPr>
          <w:rFonts w:ascii="Arial" w:hAnsi="Arial" w:cs="Arial"/>
          <w:color w:val="000000"/>
          <w:sz w:val="20"/>
          <w:szCs w:val="20"/>
        </w:rPr>
        <w:t xml:space="preserve"> 6(5): 534 – 544 (United Kingdom)</w:t>
      </w:r>
    </w:p>
    <w:p w14:paraId="435182EE" w14:textId="77777777" w:rsidR="00CC50CD" w:rsidRPr="00CC50CD" w:rsidRDefault="00CC50CD" w:rsidP="00CC50CD">
      <w:pPr>
        <w:pStyle w:val="ListParagraph"/>
        <w:numPr>
          <w:ilvl w:val="0"/>
          <w:numId w:val="2"/>
        </w:numPr>
        <w:spacing w:line="240" w:lineRule="auto"/>
        <w:rPr>
          <w:rFonts w:ascii="Arial" w:hAnsi="Arial" w:cs="Arial"/>
          <w:bCs/>
          <w:i/>
          <w:iCs/>
          <w:sz w:val="20"/>
          <w:szCs w:val="20"/>
        </w:rPr>
      </w:pPr>
      <w:r w:rsidRPr="00CC50CD">
        <w:rPr>
          <w:rFonts w:ascii="Arial" w:hAnsi="Arial" w:cs="Arial"/>
          <w:b/>
          <w:bCs/>
          <w:sz w:val="20"/>
          <w:szCs w:val="20"/>
        </w:rPr>
        <w:t xml:space="preserve">Ekaidem, I. S. </w:t>
      </w:r>
      <w:r w:rsidRPr="00CC50CD">
        <w:rPr>
          <w:rFonts w:ascii="Arial" w:hAnsi="Arial" w:cs="Arial"/>
          <w:sz w:val="20"/>
          <w:szCs w:val="20"/>
        </w:rPr>
        <w:t>and</w:t>
      </w:r>
      <w:r w:rsidRPr="00CC50CD">
        <w:rPr>
          <w:rFonts w:ascii="Arial" w:hAnsi="Arial" w:cs="Arial"/>
          <w:bCs/>
          <w:sz w:val="20"/>
          <w:szCs w:val="20"/>
        </w:rPr>
        <w:t xml:space="preserve"> Akpan, H. D. (2016): Adverse Haematological Changes in Plasmodium Infected Mice Following Treatment with </w:t>
      </w:r>
      <w:r w:rsidRPr="00CC50CD">
        <w:rPr>
          <w:rFonts w:ascii="Arial" w:hAnsi="Arial" w:cs="Arial"/>
          <w:bCs/>
          <w:i/>
          <w:iCs/>
          <w:sz w:val="20"/>
          <w:szCs w:val="20"/>
        </w:rPr>
        <w:t xml:space="preserve">Azadirachta indica </w:t>
      </w:r>
      <w:r w:rsidRPr="00CC50CD">
        <w:rPr>
          <w:rFonts w:ascii="Arial" w:hAnsi="Arial" w:cs="Arial"/>
          <w:bCs/>
          <w:sz w:val="20"/>
          <w:szCs w:val="20"/>
        </w:rPr>
        <w:t xml:space="preserve">(Neem) Leaf Extract. </w:t>
      </w:r>
      <w:r w:rsidRPr="00CC50CD">
        <w:rPr>
          <w:rFonts w:ascii="Arial" w:hAnsi="Arial" w:cs="Arial"/>
          <w:bCs/>
          <w:i/>
          <w:iCs/>
          <w:sz w:val="20"/>
          <w:szCs w:val="20"/>
        </w:rPr>
        <w:t>Journal of Advances in Medical and Pharmaceutical Sciences. 9(2): 1-8. (India)</w:t>
      </w:r>
    </w:p>
    <w:p w14:paraId="3238A4F4" w14:textId="77777777" w:rsidR="00CC50CD" w:rsidRPr="00CC50CD" w:rsidRDefault="00CC50CD" w:rsidP="00CC50CD">
      <w:pPr>
        <w:pStyle w:val="ListParagraph"/>
        <w:numPr>
          <w:ilvl w:val="0"/>
          <w:numId w:val="2"/>
        </w:numPr>
        <w:autoSpaceDE w:val="0"/>
        <w:autoSpaceDN w:val="0"/>
        <w:adjustRightInd w:val="0"/>
        <w:spacing w:line="240" w:lineRule="auto"/>
        <w:contextualSpacing w:val="0"/>
        <w:rPr>
          <w:bCs/>
          <w:sz w:val="20"/>
          <w:szCs w:val="20"/>
        </w:rPr>
      </w:pPr>
      <w:r w:rsidRPr="00CC50CD">
        <w:rPr>
          <w:rFonts w:ascii="Arial" w:hAnsi="Arial" w:cs="Arial"/>
          <w:b/>
          <w:bCs/>
          <w:color w:val="000000"/>
          <w:sz w:val="20"/>
          <w:szCs w:val="20"/>
        </w:rPr>
        <w:t>Ekaidem, I. S.</w:t>
      </w:r>
      <w:r w:rsidRPr="00CC50CD">
        <w:rPr>
          <w:rFonts w:ascii="Arial" w:hAnsi="Arial" w:cs="Arial"/>
          <w:color w:val="000000"/>
          <w:sz w:val="20"/>
          <w:szCs w:val="20"/>
        </w:rPr>
        <w:t xml:space="preserve">, Dixon-Umoh, O. A., Usoroh, A. J. and Ikpeme, E. E. (2019): </w:t>
      </w:r>
      <w:r w:rsidRPr="00CC50CD">
        <w:rPr>
          <w:rFonts w:ascii="Arial" w:hAnsi="Arial" w:cs="Arial"/>
          <w:sz w:val="20"/>
          <w:szCs w:val="20"/>
          <w:lang w:val="en-GB"/>
        </w:rPr>
        <w:t xml:space="preserve">C-Reactive Protein and Immunoglobulin Isotypes Concentrations in       </w:t>
      </w:r>
      <w:r w:rsidRPr="00CC50CD">
        <w:rPr>
          <w:rFonts w:ascii="Arial" w:hAnsi="Arial" w:cs="Arial"/>
          <w:i/>
          <w:iCs/>
          <w:sz w:val="20"/>
          <w:szCs w:val="20"/>
          <w:lang w:val="en-GB"/>
        </w:rPr>
        <w:t>Helicobacter pylori</w:t>
      </w:r>
      <w:r w:rsidRPr="00CC50CD">
        <w:rPr>
          <w:rFonts w:ascii="Arial" w:hAnsi="Arial" w:cs="Arial"/>
          <w:sz w:val="20"/>
          <w:szCs w:val="20"/>
          <w:lang w:val="en-GB"/>
        </w:rPr>
        <w:t xml:space="preserve"> Sero-Positive Children </w:t>
      </w:r>
      <w:r w:rsidRPr="00CC50CD">
        <w:rPr>
          <w:rFonts w:ascii="Arial" w:hAnsi="Arial" w:cs="Arial"/>
          <w:sz w:val="20"/>
          <w:szCs w:val="20"/>
          <w:lang w:val="en-GB"/>
        </w:rPr>
        <w:lastRenderedPageBreak/>
        <w:t>Attending a Tertiary Health Institution in Uyo, Nigeria.</w:t>
      </w:r>
      <w:r w:rsidRPr="00CC50CD">
        <w:rPr>
          <w:rFonts w:ascii="Arial" w:hAnsi="Arial" w:cs="Arial"/>
          <w:i/>
          <w:sz w:val="20"/>
          <w:szCs w:val="20"/>
          <w:lang w:val="en-GB"/>
        </w:rPr>
        <w:t xml:space="preserve"> </w:t>
      </w:r>
      <w:r w:rsidRPr="00CC50CD">
        <w:rPr>
          <w:rFonts w:ascii="Arial" w:hAnsi="Arial" w:cs="Arial"/>
          <w:bCs/>
          <w:i/>
          <w:sz w:val="20"/>
          <w:szCs w:val="20"/>
          <w:lang w:val="en-GB"/>
        </w:rPr>
        <w:t>Journal of Clinical Immunology and Research</w:t>
      </w:r>
      <w:r w:rsidRPr="00CC50CD">
        <w:rPr>
          <w:rFonts w:ascii="Arial" w:hAnsi="Arial" w:cs="Arial"/>
          <w:bCs/>
          <w:sz w:val="20"/>
          <w:szCs w:val="20"/>
          <w:lang w:val="en-GB"/>
        </w:rPr>
        <w:t xml:space="preserve"> 2:1</w:t>
      </w:r>
      <w:r w:rsidRPr="00CC50CD">
        <w:rPr>
          <w:rFonts w:ascii="Arial" w:hAnsi="Arial" w:cs="Arial"/>
          <w:bCs/>
          <w:i/>
          <w:iCs/>
          <w:sz w:val="20"/>
          <w:szCs w:val="20"/>
          <w:lang w:val="en-GB"/>
        </w:rPr>
        <w:t>(USA)</w:t>
      </w:r>
    </w:p>
    <w:p w14:paraId="696A93BF" w14:textId="77777777" w:rsidR="00CC50CD" w:rsidRPr="00CC50CD" w:rsidRDefault="00CC50CD" w:rsidP="00CC50CD">
      <w:pPr>
        <w:pStyle w:val="ListParagraph"/>
        <w:numPr>
          <w:ilvl w:val="0"/>
          <w:numId w:val="2"/>
        </w:numPr>
        <w:spacing w:line="240" w:lineRule="auto"/>
        <w:contextualSpacing w:val="0"/>
        <w:jc w:val="both"/>
        <w:rPr>
          <w:rFonts w:ascii="Arial" w:hAnsi="Arial" w:cs="Arial"/>
          <w:b/>
          <w:bCs/>
          <w:sz w:val="20"/>
          <w:szCs w:val="20"/>
        </w:rPr>
      </w:pPr>
      <w:r w:rsidRPr="00CC50CD">
        <w:rPr>
          <w:rFonts w:ascii="Arial" w:hAnsi="Arial" w:cs="Arial"/>
          <w:b/>
          <w:bCs/>
          <w:sz w:val="20"/>
          <w:szCs w:val="20"/>
        </w:rPr>
        <w:t>Ekaidem, I. S.</w:t>
      </w:r>
      <w:r w:rsidRPr="00CC50CD">
        <w:rPr>
          <w:rFonts w:ascii="Arial" w:hAnsi="Arial" w:cs="Arial"/>
          <w:sz w:val="20"/>
          <w:szCs w:val="20"/>
        </w:rPr>
        <w:t xml:space="preserve">, Moses, A. E. and Tatfeng, Y. M. (2020): Immunoinformatics design of novel multi-epitope subunit vaccine for sars-cov-2 by exploring virus conserved sequences of the spike glycoproteins. </w:t>
      </w:r>
      <w:r w:rsidRPr="00CC50CD">
        <w:rPr>
          <w:rFonts w:ascii="Arial" w:hAnsi="Arial" w:cs="Arial"/>
          <w:i/>
          <w:iCs/>
          <w:sz w:val="20"/>
          <w:szCs w:val="20"/>
        </w:rPr>
        <w:t xml:space="preserve">International Journal of Immunology </w:t>
      </w:r>
      <w:r w:rsidRPr="00CC50CD">
        <w:rPr>
          <w:rFonts w:ascii="Arial" w:hAnsi="Arial" w:cs="Arial"/>
          <w:sz w:val="20"/>
          <w:szCs w:val="20"/>
        </w:rPr>
        <w:t>Vol. 8, No.2, 2020, pp. 42-52.</w:t>
      </w:r>
      <w:r w:rsidRPr="00CC50CD">
        <w:rPr>
          <w:rFonts w:ascii="Arial" w:eastAsiaTheme="minorEastAsia" w:hAnsi="Arial" w:cs="Arial"/>
          <w:sz w:val="20"/>
          <w:szCs w:val="20"/>
        </w:rPr>
        <w:t xml:space="preserve"> </w:t>
      </w:r>
      <w:r w:rsidRPr="00CC50CD">
        <w:rPr>
          <w:sz w:val="20"/>
          <w:szCs w:val="20"/>
        </w:rPr>
        <w:t>doi: 10.11648/j.iji.20200803.12</w:t>
      </w:r>
      <w:r w:rsidRPr="00CC50CD">
        <w:rPr>
          <w:rFonts w:ascii="Arial" w:hAnsi="Arial" w:cs="Arial"/>
          <w:sz w:val="20"/>
          <w:szCs w:val="20"/>
        </w:rPr>
        <w:t xml:space="preserve">  (USA)</w:t>
      </w:r>
    </w:p>
    <w:p w14:paraId="27DF5C0B" w14:textId="77777777" w:rsidR="00CC50CD" w:rsidRPr="00CC50CD" w:rsidRDefault="00CC50CD" w:rsidP="00CC50CD">
      <w:pPr>
        <w:pStyle w:val="ListParagraph"/>
        <w:numPr>
          <w:ilvl w:val="0"/>
          <w:numId w:val="2"/>
        </w:numPr>
        <w:spacing w:line="240" w:lineRule="auto"/>
        <w:contextualSpacing w:val="0"/>
        <w:jc w:val="both"/>
        <w:rPr>
          <w:rFonts w:ascii="Arial" w:hAnsi="Arial" w:cs="Arial"/>
          <w:iCs/>
          <w:sz w:val="20"/>
          <w:szCs w:val="20"/>
        </w:rPr>
      </w:pPr>
      <w:bookmarkStart w:id="0" w:name="_Hlk46792817"/>
      <w:r w:rsidRPr="00CC50CD">
        <w:rPr>
          <w:rFonts w:ascii="Arial" w:hAnsi="Arial" w:cs="Arial"/>
          <w:b/>
          <w:bCs/>
          <w:color w:val="000000"/>
          <w:sz w:val="20"/>
          <w:szCs w:val="20"/>
        </w:rPr>
        <w:t>Ekaidem, I. S.</w:t>
      </w:r>
      <w:r w:rsidRPr="00CC50CD">
        <w:rPr>
          <w:rFonts w:ascii="Arial" w:hAnsi="Arial" w:cs="Arial"/>
          <w:color w:val="000000"/>
          <w:sz w:val="20"/>
          <w:szCs w:val="20"/>
        </w:rPr>
        <w:t>, Udoh, D. K., Usoh, I. F., Usoroh, A. J.</w:t>
      </w:r>
      <w:bookmarkEnd w:id="0"/>
      <w:r w:rsidRPr="00CC50CD">
        <w:rPr>
          <w:rFonts w:ascii="Arial" w:hAnsi="Arial" w:cs="Arial"/>
          <w:color w:val="000000"/>
          <w:sz w:val="20"/>
          <w:szCs w:val="20"/>
        </w:rPr>
        <w:t xml:space="preserve"> (2020):</w:t>
      </w:r>
      <w:r w:rsidRPr="00CC50CD">
        <w:rPr>
          <w:rFonts w:ascii="Arial" w:hAnsi="Arial" w:cs="Arial"/>
          <w:b/>
          <w:sz w:val="20"/>
          <w:szCs w:val="20"/>
        </w:rPr>
        <w:t xml:space="preserve"> </w:t>
      </w:r>
      <w:r w:rsidRPr="00CC50CD">
        <w:rPr>
          <w:rFonts w:ascii="Arial" w:hAnsi="Arial" w:cs="Arial"/>
          <w:bCs/>
          <w:sz w:val="20"/>
          <w:szCs w:val="20"/>
        </w:rPr>
        <w:t xml:space="preserve">Fractional uric acid excretion and c-reactive protein concentrations in type 2 diabetes mellitus: The influence of glycemic control. </w:t>
      </w:r>
      <w:r w:rsidRPr="00CC50CD">
        <w:rPr>
          <w:rFonts w:ascii="Arial" w:hAnsi="Arial" w:cs="Arial"/>
          <w:bCs/>
          <w:i/>
          <w:iCs/>
          <w:sz w:val="20"/>
          <w:szCs w:val="20"/>
        </w:rPr>
        <w:t xml:space="preserve">International </w:t>
      </w:r>
      <w:r w:rsidRPr="00CC50CD">
        <w:rPr>
          <w:rFonts w:ascii="Arial" w:hAnsi="Arial" w:cs="Arial"/>
          <w:i/>
          <w:iCs/>
          <w:sz w:val="20"/>
          <w:szCs w:val="20"/>
        </w:rPr>
        <w:t>Journal of Research Publications</w:t>
      </w:r>
      <w:r w:rsidRPr="00CC50CD">
        <w:rPr>
          <w:rFonts w:ascii="Arial" w:hAnsi="Arial" w:cs="Arial"/>
          <w:color w:val="000000"/>
          <w:sz w:val="20"/>
          <w:szCs w:val="20"/>
        </w:rPr>
        <w:t xml:space="preserve">, 57(1) </w:t>
      </w:r>
      <w:hyperlink r:id="rId8" w:history="1">
        <w:r w:rsidRPr="00CC50CD">
          <w:rPr>
            <w:rStyle w:val="Hyperlink"/>
            <w:rFonts w:ascii="Arial" w:hAnsi="Arial" w:cs="Arial"/>
            <w:sz w:val="20"/>
            <w:szCs w:val="20"/>
          </w:rPr>
          <w:t>http://ijrp.org/paper-detail/1341</w:t>
        </w:r>
      </w:hyperlink>
      <w:r w:rsidRPr="00CC50CD">
        <w:rPr>
          <w:rFonts w:ascii="Arial" w:hAnsi="Arial" w:cs="Arial"/>
          <w:color w:val="000000"/>
          <w:sz w:val="20"/>
          <w:szCs w:val="20"/>
        </w:rPr>
        <w:t xml:space="preserve">. </w:t>
      </w:r>
    </w:p>
    <w:p w14:paraId="3EDAEA7D" w14:textId="77777777" w:rsidR="00CC50CD" w:rsidRPr="00CC50CD" w:rsidRDefault="00CC50CD" w:rsidP="00CC50CD">
      <w:pPr>
        <w:pStyle w:val="ListParagraph"/>
        <w:rPr>
          <w:rFonts w:ascii="Arial" w:hAnsi="Arial" w:cs="Arial"/>
          <w:sz w:val="20"/>
          <w:szCs w:val="20"/>
        </w:rPr>
      </w:pPr>
    </w:p>
    <w:p w14:paraId="6F6284BD" w14:textId="77777777" w:rsidR="00CC50CD" w:rsidRPr="00CC50CD" w:rsidRDefault="00CC50CD" w:rsidP="00CC50CD">
      <w:pPr>
        <w:pStyle w:val="ListParagraph"/>
        <w:numPr>
          <w:ilvl w:val="0"/>
          <w:numId w:val="2"/>
        </w:numPr>
        <w:spacing w:line="240" w:lineRule="auto"/>
        <w:contextualSpacing w:val="0"/>
        <w:jc w:val="both"/>
        <w:rPr>
          <w:rFonts w:ascii="Arial" w:hAnsi="Arial" w:cs="Arial"/>
          <w:iCs/>
          <w:sz w:val="20"/>
          <w:szCs w:val="20"/>
        </w:rPr>
      </w:pPr>
      <w:r w:rsidRPr="00CC50CD">
        <w:rPr>
          <w:rFonts w:ascii="Arial" w:hAnsi="Arial" w:cs="Arial"/>
          <w:sz w:val="20"/>
          <w:szCs w:val="20"/>
        </w:rPr>
        <w:t xml:space="preserve">Ekpenyong, M. E., Edoho, M. E., Inyang, U. G., Uzoka, F. M., </w:t>
      </w:r>
      <w:r w:rsidRPr="00CC50CD">
        <w:rPr>
          <w:rFonts w:ascii="Arial" w:hAnsi="Arial" w:cs="Arial"/>
          <w:b/>
          <w:bCs/>
          <w:sz w:val="20"/>
          <w:szCs w:val="20"/>
        </w:rPr>
        <w:t>Ekaidem, I. S.</w:t>
      </w:r>
      <w:r w:rsidRPr="00CC50CD">
        <w:rPr>
          <w:rFonts w:ascii="Arial" w:hAnsi="Arial" w:cs="Arial"/>
          <w:sz w:val="20"/>
          <w:szCs w:val="20"/>
        </w:rPr>
        <w:t>, Moses, A. E., Emeje, M. O., Tatfeng, Y. M., Udo, I. J., Anwana, E. D., Etim, O. E., Geofery, J. I. and Dan, E. A. (2021) A hybrid computational framework for intelligent inter</w:t>
      </w:r>
      <w:r w:rsidRPr="00CC50CD">
        <w:rPr>
          <w:rFonts w:ascii="Arial" w:hAnsi="Arial" w:cs="Arial"/>
          <w:sz w:val="20"/>
          <w:szCs w:val="20"/>
        </w:rPr>
        <w:noBreakHyphen/>
        <w:t>continent SARS</w:t>
      </w:r>
      <w:r w:rsidRPr="00CC50CD">
        <w:rPr>
          <w:rFonts w:ascii="Arial" w:hAnsi="Arial" w:cs="Arial"/>
          <w:sz w:val="20"/>
          <w:szCs w:val="20"/>
        </w:rPr>
        <w:noBreakHyphen/>
        <w:t>CoV</w:t>
      </w:r>
      <w:r w:rsidRPr="00CC50CD">
        <w:rPr>
          <w:rFonts w:ascii="Arial" w:hAnsi="Arial" w:cs="Arial"/>
          <w:sz w:val="20"/>
          <w:szCs w:val="20"/>
        </w:rPr>
        <w:noBreakHyphen/>
        <w:t>2 sub</w:t>
      </w:r>
      <w:r w:rsidRPr="00CC50CD">
        <w:rPr>
          <w:rFonts w:ascii="Arial" w:hAnsi="Arial" w:cs="Arial"/>
          <w:sz w:val="20"/>
          <w:szCs w:val="20"/>
        </w:rPr>
        <w:noBreakHyphen/>
        <w:t xml:space="preserve">strains characterization and prediction. </w:t>
      </w:r>
      <w:r w:rsidRPr="00CC50CD">
        <w:rPr>
          <w:rFonts w:ascii="Arial" w:hAnsi="Arial" w:cs="Arial"/>
          <w:i/>
          <w:color w:val="000000"/>
          <w:sz w:val="20"/>
          <w:szCs w:val="20"/>
        </w:rPr>
        <w:t xml:space="preserve">Scientific Reports. </w:t>
      </w:r>
      <w:r w:rsidRPr="00CC50CD">
        <w:rPr>
          <w:rFonts w:ascii="Arial" w:hAnsi="Arial" w:cs="Arial"/>
          <w:sz w:val="20"/>
          <w:szCs w:val="20"/>
        </w:rPr>
        <w:t xml:space="preserve">11:14558. </w:t>
      </w:r>
      <w:hyperlink r:id="rId9" w:history="1">
        <w:r w:rsidRPr="00CC50CD">
          <w:rPr>
            <w:rStyle w:val="Hyperlink"/>
            <w:rFonts w:ascii="Arial" w:hAnsi="Arial" w:cs="Arial"/>
            <w:sz w:val="20"/>
            <w:szCs w:val="20"/>
          </w:rPr>
          <w:t>https://doi.org/10.1038/s41598-021-93757-w</w:t>
        </w:r>
      </w:hyperlink>
      <w:r w:rsidRPr="00CC50CD">
        <w:rPr>
          <w:rFonts w:ascii="Arial" w:hAnsi="Arial" w:cs="Arial"/>
          <w:sz w:val="20"/>
          <w:szCs w:val="20"/>
        </w:rPr>
        <w:t xml:space="preserve"> </w:t>
      </w:r>
    </w:p>
    <w:p w14:paraId="6640ED25" w14:textId="77777777" w:rsidR="00CC50CD" w:rsidRDefault="00CC50CD" w:rsidP="007936B7">
      <w:pPr>
        <w:shd w:val="clear" w:color="auto" w:fill="FFFFFF"/>
        <w:spacing w:before="120" w:beforeAutospacing="1" w:after="120" w:afterAutospacing="1" w:line="300" w:lineRule="atLeast"/>
        <w:ind w:left="720"/>
        <w:jc w:val="both"/>
        <w:rPr>
          <w:sz w:val="20"/>
          <w:szCs w:val="20"/>
        </w:rPr>
      </w:pPr>
    </w:p>
    <w:p w14:paraId="37A5F718" w14:textId="77777777" w:rsidR="00CC50CD" w:rsidRDefault="00CC50CD" w:rsidP="007936B7">
      <w:pPr>
        <w:shd w:val="clear" w:color="auto" w:fill="FFFFFF"/>
        <w:spacing w:before="120" w:beforeAutospacing="1" w:after="120" w:afterAutospacing="1" w:line="300" w:lineRule="atLeast"/>
        <w:ind w:left="720"/>
        <w:jc w:val="both"/>
        <w:rPr>
          <w:sz w:val="20"/>
          <w:szCs w:val="20"/>
        </w:rPr>
      </w:pPr>
    </w:p>
    <w:p w14:paraId="631BF3D6" w14:textId="77777777" w:rsidR="00CC50CD" w:rsidRDefault="00CC50CD" w:rsidP="007936B7">
      <w:pPr>
        <w:shd w:val="clear" w:color="auto" w:fill="FFFFFF"/>
        <w:spacing w:before="120" w:beforeAutospacing="1" w:after="120" w:afterAutospacing="1" w:line="300" w:lineRule="atLeast"/>
        <w:ind w:left="720"/>
        <w:jc w:val="both"/>
        <w:rPr>
          <w:sz w:val="20"/>
          <w:szCs w:val="20"/>
        </w:rPr>
      </w:pPr>
    </w:p>
    <w:p w14:paraId="65C64EC4" w14:textId="77777777" w:rsidR="00CC50CD" w:rsidRDefault="00CC50CD" w:rsidP="007936B7">
      <w:pPr>
        <w:shd w:val="clear" w:color="auto" w:fill="FFFFFF"/>
        <w:spacing w:before="120" w:beforeAutospacing="1" w:after="120" w:afterAutospacing="1" w:line="300" w:lineRule="atLeast"/>
        <w:ind w:left="720"/>
        <w:jc w:val="both"/>
        <w:rPr>
          <w:sz w:val="20"/>
          <w:szCs w:val="20"/>
        </w:rPr>
      </w:pPr>
    </w:p>
    <w:p w14:paraId="40E22222" w14:textId="77777777" w:rsidR="00CC50CD" w:rsidRDefault="00CC50CD" w:rsidP="007936B7">
      <w:pPr>
        <w:shd w:val="clear" w:color="auto" w:fill="FFFFFF"/>
        <w:spacing w:before="120" w:beforeAutospacing="1" w:after="120" w:afterAutospacing="1" w:line="300" w:lineRule="atLeast"/>
        <w:ind w:left="720"/>
        <w:jc w:val="both"/>
        <w:rPr>
          <w:sz w:val="20"/>
          <w:szCs w:val="20"/>
        </w:rPr>
      </w:pPr>
    </w:p>
    <w:p w14:paraId="5C964C32" w14:textId="77777777" w:rsidR="00CC50CD" w:rsidRDefault="00CC50CD" w:rsidP="007936B7">
      <w:pPr>
        <w:shd w:val="clear" w:color="auto" w:fill="FFFFFF"/>
        <w:spacing w:before="120" w:beforeAutospacing="1" w:after="120" w:afterAutospacing="1" w:line="300" w:lineRule="atLeast"/>
        <w:ind w:left="720"/>
        <w:jc w:val="both"/>
        <w:rPr>
          <w:sz w:val="20"/>
          <w:szCs w:val="20"/>
        </w:rPr>
      </w:pPr>
    </w:p>
    <w:p w14:paraId="55EBB603" w14:textId="77777777" w:rsidR="00CC50CD" w:rsidRDefault="00CC50CD" w:rsidP="007936B7">
      <w:pPr>
        <w:shd w:val="clear" w:color="auto" w:fill="FFFFFF"/>
        <w:spacing w:before="120" w:beforeAutospacing="1" w:after="120" w:afterAutospacing="1" w:line="300" w:lineRule="atLeast"/>
        <w:ind w:left="720"/>
        <w:jc w:val="both"/>
        <w:rPr>
          <w:sz w:val="20"/>
          <w:szCs w:val="20"/>
        </w:rPr>
      </w:pPr>
    </w:p>
    <w:p w14:paraId="3012E33C" w14:textId="77777777" w:rsidR="00CC50CD" w:rsidRDefault="00CC50CD" w:rsidP="007936B7">
      <w:pPr>
        <w:shd w:val="clear" w:color="auto" w:fill="FFFFFF"/>
        <w:spacing w:before="120" w:beforeAutospacing="1" w:after="120" w:afterAutospacing="1" w:line="300" w:lineRule="atLeast"/>
        <w:ind w:left="720"/>
        <w:jc w:val="both"/>
        <w:rPr>
          <w:sz w:val="20"/>
          <w:szCs w:val="20"/>
        </w:rPr>
      </w:pPr>
    </w:p>
    <w:p w14:paraId="3E9A124D" w14:textId="08A2F99E" w:rsidR="007936B7" w:rsidRPr="00CC50CD" w:rsidRDefault="007936B7" w:rsidP="007936B7">
      <w:pPr>
        <w:shd w:val="clear" w:color="auto" w:fill="FFFFFF"/>
        <w:spacing w:before="120" w:beforeAutospacing="1" w:after="120" w:afterAutospacing="1" w:line="300" w:lineRule="atLeast"/>
        <w:ind w:left="720"/>
        <w:jc w:val="both"/>
        <w:rPr>
          <w:rFonts w:ascii="Tahoma" w:hAnsi="Tahoma" w:cs="Tahoma"/>
          <w:color w:val="000000"/>
          <w:sz w:val="20"/>
          <w:szCs w:val="20"/>
        </w:rPr>
      </w:pPr>
      <w:r w:rsidRPr="00CC50CD">
        <w:rPr>
          <w:sz w:val="20"/>
          <w:szCs w:val="20"/>
        </w:rPr>
        <w:t>Dr Itemobong Samuel Ekaidem is a Medical Laboratory Scientist with specialization in Chemical Pathology (molecular immunology and immunochemistry). He obtained a Bachelor of Science (B. Sc) in Biochemistry and Master of Science (M. Sc) in Clinical Biochemistry from the University of Calabar in 1995 and 2002 respectively. He possesses an Associate Certificate in Medical Laboratory Science from the Medical Laboratory Science Council of Nigeria with specialization in Chemical Pathology (2008) and a Doctor of Philosophy (Ph. D) in Medical Laboratory Science (Chemical Pathology) from the University of Calabar in 2008. He is an Associate Professor in the Department of Chemical Pathology, Faculty of Basic Clinical Sciences, University of Uyo and a Honorary Consultant Chemical Pathologist at the University of Uyo Teaching Hospital, Uyo, Akwa Ibom State. Dr Ekaidem has expertise in basic molecular biology techniques, computational biology, flowcytometry and basic biochemical techniques including immunoassays, spectrophotometry, chromatography and electrophoresis. He has taken part in various basic and clinical science researches especially those with huge laboratory components</w:t>
      </w:r>
      <w:r w:rsidR="00712DE9">
        <w:rPr>
          <w:sz w:val="20"/>
          <w:szCs w:val="20"/>
        </w:rPr>
        <w:t>.</w:t>
      </w:r>
    </w:p>
    <w:p w14:paraId="4082E01D" w14:textId="77777777" w:rsidR="007E50BC" w:rsidRPr="00CC50CD" w:rsidRDefault="007E50BC" w:rsidP="007E50BC">
      <w:pPr>
        <w:pStyle w:val="ListParagraph"/>
        <w:shd w:val="clear" w:color="auto" w:fill="FFFFFF"/>
        <w:spacing w:before="100" w:beforeAutospacing="1" w:afterAutospacing="1" w:line="240" w:lineRule="auto"/>
        <w:jc w:val="both"/>
        <w:outlineLvl w:val="1"/>
        <w:rPr>
          <w:sz w:val="20"/>
          <w:szCs w:val="20"/>
        </w:rPr>
      </w:pPr>
    </w:p>
    <w:sectPr w:rsidR="007E50BC" w:rsidRPr="00CC50CD" w:rsidSect="006961DA">
      <w:pgSz w:w="11906" w:h="16838"/>
      <w:pgMar w:top="1440" w:right="1440" w:bottom="1440" w:left="144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9A633A"/>
    <w:multiLevelType w:val="hybridMultilevel"/>
    <w:tmpl w:val="429851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239221D"/>
    <w:multiLevelType w:val="hybridMultilevel"/>
    <w:tmpl w:val="80AEEFF2"/>
    <w:lvl w:ilvl="0" w:tplc="138A0790">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A6875C1"/>
    <w:multiLevelType w:val="hybridMultilevel"/>
    <w:tmpl w:val="F64C5A06"/>
    <w:lvl w:ilvl="0" w:tplc="B16E584C">
      <w:start w:val="27"/>
      <w:numFmt w:val="decimal"/>
      <w:lvlText w:val="%1"/>
      <w:lvlJc w:val="left"/>
      <w:pPr>
        <w:ind w:left="1080" w:hanging="360"/>
      </w:pPr>
      <w:rPr>
        <w:rFonts w:ascii="Arial" w:hAnsi="Arial" w:cs="Arial" w:hint="default"/>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6FE"/>
    <w:rsid w:val="006961DA"/>
    <w:rsid w:val="00712DE9"/>
    <w:rsid w:val="007936B7"/>
    <w:rsid w:val="007E50BC"/>
    <w:rsid w:val="008836FE"/>
    <w:rsid w:val="00AB2264"/>
    <w:rsid w:val="00CC50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30AB2"/>
  <w15:chartTrackingRefBased/>
  <w15:docId w15:val="{4877687C-2E66-4C96-95E2-C6E23ACA5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36FE"/>
    <w:pPr>
      <w:spacing w:after="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836FE"/>
    <w:rPr>
      <w:color w:val="0563C1" w:themeColor="hyperlink"/>
      <w:u w:val="single"/>
    </w:rPr>
  </w:style>
  <w:style w:type="paragraph" w:styleId="ListParagraph">
    <w:name w:val="List Paragraph"/>
    <w:basedOn w:val="Normal"/>
    <w:uiPriority w:val="34"/>
    <w:qFormat/>
    <w:rsid w:val="007E50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jrp.org/paper-detail/1341" TargetMode="External"/><Relationship Id="rId3" Type="http://schemas.openxmlformats.org/officeDocument/2006/relationships/styles" Target="styles.xml"/><Relationship Id="rId7" Type="http://schemas.openxmlformats.org/officeDocument/2006/relationships/hyperlink" Target="mailto:itemobongekaidem@uniuyo.edu.n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eityjen@gmail.com"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i.org/10.1038/s41598-021-93757-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096DE9-4D7F-4222-BC3E-536EED9088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921</Words>
  <Characters>5252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Ekaidem</dc:creator>
  <cp:keywords/>
  <dc:description/>
  <cp:lastModifiedBy>Dr Ekaidem</cp:lastModifiedBy>
  <cp:revision>4</cp:revision>
  <dcterms:created xsi:type="dcterms:W3CDTF">2021-08-22T21:36:00Z</dcterms:created>
  <dcterms:modified xsi:type="dcterms:W3CDTF">2021-08-22T22:17:00Z</dcterms:modified>
</cp:coreProperties>
</file>