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1FA" w:rsidRDefault="00A561FA" w:rsidP="00A561FA">
      <w:pPr>
        <w:jc w:val="both"/>
        <w:rPr>
          <w:b/>
          <w:sz w:val="24"/>
          <w:szCs w:val="24"/>
        </w:rPr>
      </w:pPr>
      <w:r>
        <w:rPr>
          <w:b/>
          <w:sz w:val="24"/>
          <w:szCs w:val="24"/>
        </w:rPr>
        <w:t xml:space="preserve">NCoR1 and SMRT fine-tune inflammatory versus </w:t>
      </w:r>
      <w:proofErr w:type="spellStart"/>
      <w:r>
        <w:rPr>
          <w:b/>
          <w:sz w:val="24"/>
          <w:szCs w:val="24"/>
        </w:rPr>
        <w:t>tolerogenic</w:t>
      </w:r>
      <w:proofErr w:type="spellEnd"/>
      <w:r>
        <w:rPr>
          <w:b/>
          <w:sz w:val="24"/>
          <w:szCs w:val="24"/>
        </w:rPr>
        <w:t xml:space="preserve"> balance in dendritic cells by differentially regulating STAT3 signaling</w:t>
      </w:r>
    </w:p>
    <w:p w:rsidR="005C565A" w:rsidRDefault="005C565A" w:rsidP="00A561FA">
      <w:pPr>
        <w:jc w:val="both"/>
        <w:rPr>
          <w:rFonts w:ascii="Times New Roman" w:hAnsi="Times New Roman"/>
          <w:b/>
          <w:sz w:val="24"/>
          <w:szCs w:val="24"/>
        </w:rPr>
      </w:pPr>
    </w:p>
    <w:p w:rsidR="0078738A" w:rsidRDefault="005C565A" w:rsidP="005C565A">
      <w:pPr>
        <w:pStyle w:val="BodyText"/>
        <w:spacing w:before="73" w:line="198" w:lineRule="exact"/>
        <w:ind w:right="5987"/>
        <w:rPr>
          <w:rFonts w:ascii="Arial"/>
        </w:rPr>
      </w:pPr>
      <w:proofErr w:type="spellStart"/>
      <w:r>
        <w:rPr>
          <w:rFonts w:ascii="Arial"/>
        </w:rPr>
        <w:t>Atimukta</w:t>
      </w:r>
      <w:proofErr w:type="spellEnd"/>
      <w:r>
        <w:rPr>
          <w:rFonts w:ascii="Arial"/>
        </w:rPr>
        <w:t xml:space="preserve"> </w:t>
      </w:r>
      <w:proofErr w:type="spellStart"/>
      <w:r>
        <w:rPr>
          <w:rFonts w:ascii="Arial"/>
        </w:rPr>
        <w:t>Jha</w:t>
      </w:r>
      <w:proofErr w:type="spellEnd"/>
      <w:r w:rsidR="005973B9">
        <w:rPr>
          <w:rFonts w:ascii="Arial"/>
        </w:rPr>
        <w:t xml:space="preserve">, </w:t>
      </w:r>
      <w:r>
        <w:rPr>
          <w:rFonts w:ascii="Arial"/>
        </w:rPr>
        <w:t>Institute of Life Sciences</w:t>
      </w:r>
      <w:r w:rsidR="005973B9">
        <w:rPr>
          <w:rFonts w:ascii="Arial"/>
        </w:rPr>
        <w:t xml:space="preserve">, </w:t>
      </w:r>
      <w:r>
        <w:rPr>
          <w:rFonts w:ascii="Arial"/>
        </w:rPr>
        <w:t>India</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5C565A">
      <w:pPr>
        <w:pStyle w:val="Heading3"/>
        <w:spacing w:before="74"/>
      </w:pPr>
      <w:r w:rsidRPr="005C565A">
        <w:rPr>
          <w:rFonts w:ascii="Calibri" w:eastAsia="Calibri" w:hAnsi="Calibri" w:cs="Calibri"/>
          <w:b w:val="0"/>
          <w:bCs w:val="0"/>
          <w:sz w:val="18"/>
          <w:szCs w:val="22"/>
        </w:rPr>
        <w:t xml:space="preserve">Dendritic cells are professional antigen presenting cells that fine-tune </w:t>
      </w:r>
      <w:proofErr w:type="spellStart"/>
      <w:r w:rsidRPr="005C565A">
        <w:rPr>
          <w:rFonts w:ascii="Calibri" w:eastAsia="Calibri" w:hAnsi="Calibri" w:cs="Calibri"/>
          <w:b w:val="0"/>
          <w:bCs w:val="0"/>
          <w:sz w:val="18"/>
          <w:szCs w:val="22"/>
        </w:rPr>
        <w:t>tolerogenic</w:t>
      </w:r>
      <w:proofErr w:type="spellEnd"/>
      <w:r w:rsidRPr="005C565A">
        <w:rPr>
          <w:rFonts w:ascii="Calibri" w:eastAsia="Calibri" w:hAnsi="Calibri" w:cs="Calibri"/>
          <w:b w:val="0"/>
          <w:bCs w:val="0"/>
          <w:sz w:val="18"/>
          <w:szCs w:val="22"/>
        </w:rPr>
        <w:t xml:space="preserve"> versus inflammatory responses. Through a combinatorial action of transcription factors (nuclear receptors) and their co-regulators. Among the best characterized co-regulators, NCoR1 and NCoR2/SMRT are known to interact with a plethora of regulatory factors and our objective is to unravel their impact on immune function. Moreover, their role in immune regulation in DCs is an untouched theme. Our finding shows that NCoR1 and its </w:t>
      </w:r>
      <w:proofErr w:type="spellStart"/>
      <w:r w:rsidRPr="005C565A">
        <w:rPr>
          <w:rFonts w:ascii="Calibri" w:eastAsia="Calibri" w:hAnsi="Calibri" w:cs="Calibri"/>
          <w:b w:val="0"/>
          <w:bCs w:val="0"/>
          <w:sz w:val="18"/>
          <w:szCs w:val="22"/>
        </w:rPr>
        <w:t>ortholog</w:t>
      </w:r>
      <w:proofErr w:type="spellEnd"/>
      <w:r w:rsidRPr="005C565A">
        <w:rPr>
          <w:rFonts w:ascii="Calibri" w:eastAsia="Calibri" w:hAnsi="Calibri" w:cs="Calibri"/>
          <w:b w:val="0"/>
          <w:bCs w:val="0"/>
          <w:sz w:val="18"/>
          <w:szCs w:val="22"/>
        </w:rPr>
        <w:t xml:space="preserve"> NCoR2 can have opposing effects in DC immune function. Silencing of NCoR2/SMRT in DCs led to increase in activation and resulted in a pro-inflammatory phenotype marked by increased IL6, IL12 and IL23 and a concomitant decrease in IL10 production. Consequently, co-culture experiment displayed that priming of naïve T cells with SMRT KD DCs led to increased proliferation of CD4+ and CD8+ T cells complimented with an increased Th1, Th17 and cytotoxic T cell response compared to control cells. SMRT depletion repressed mTOR-STAT3-IL10 signaling in cDC1 by down-regulating NR4A1. Besides, </w:t>
      </w:r>
      <w:proofErr w:type="spellStart"/>
      <w:r w:rsidRPr="005C565A">
        <w:rPr>
          <w:rFonts w:ascii="Calibri" w:eastAsia="Calibri" w:hAnsi="Calibri" w:cs="Calibri"/>
          <w:b w:val="0"/>
          <w:bCs w:val="0"/>
          <w:sz w:val="18"/>
          <w:szCs w:val="22"/>
        </w:rPr>
        <w:t>NFkBIA</w:t>
      </w:r>
      <w:proofErr w:type="spellEnd"/>
      <w:r w:rsidRPr="005C565A">
        <w:rPr>
          <w:rFonts w:ascii="Calibri" w:eastAsia="Calibri" w:hAnsi="Calibri" w:cs="Calibri"/>
          <w:b w:val="0"/>
          <w:bCs w:val="0"/>
          <w:sz w:val="18"/>
          <w:szCs w:val="22"/>
        </w:rPr>
        <w:t xml:space="preserve"> and SOCS3 were down-regulated in SMRT knockdown cDC1, supporting increased production of inflammatory cytokines. Moreover, adoptive transfer of SMRT knockdown cDC1 in OVA-DTH induced footpad inflammation led to increased Th1/Th17 and reduced tumor burden after B16 melanoma injection by enhancing oncolytic CD8+ T-cell frequency, respectively. We also depicted decreased </w:t>
      </w:r>
      <w:proofErr w:type="spellStart"/>
      <w:r w:rsidRPr="005C565A">
        <w:rPr>
          <w:rFonts w:ascii="Calibri" w:eastAsia="Calibri" w:hAnsi="Calibri" w:cs="Calibri"/>
          <w:b w:val="0"/>
          <w:bCs w:val="0"/>
          <w:sz w:val="18"/>
          <w:szCs w:val="22"/>
        </w:rPr>
        <w:t>Smrt</w:t>
      </w:r>
      <w:proofErr w:type="spellEnd"/>
      <w:r w:rsidRPr="005C565A">
        <w:rPr>
          <w:rFonts w:ascii="Calibri" w:eastAsia="Calibri" w:hAnsi="Calibri" w:cs="Calibri"/>
          <w:b w:val="0"/>
          <w:bCs w:val="0"/>
          <w:sz w:val="18"/>
          <w:szCs w:val="22"/>
        </w:rPr>
        <w:t xml:space="preserve"> expression in Rheumatoid Arthritis, a Th1/Th17 disease.</w:t>
      </w:r>
      <w:r w:rsidR="00A9710C" w:rsidRPr="005C565A">
        <w:rPr>
          <w:rFonts w:ascii="Calibri" w:eastAsia="Calibri" w:hAnsi="Calibri" w:cs="Calibri"/>
          <w:b w:val="0"/>
          <w:bCs w:val="0"/>
          <w:sz w:val="18"/>
          <w:szCs w:val="22"/>
        </w:rPr>
        <w:br w:type="column"/>
      </w:r>
      <w:r w:rsidR="00A9710C">
        <w:rPr>
          <w:color w:val="BF5A14"/>
        </w:rPr>
        <w:t>Image</w:t>
      </w:r>
    </w:p>
    <w:p w:rsidR="00AE3E37" w:rsidRDefault="00815796">
      <w:pPr>
        <w:pStyle w:val="BodyText"/>
        <w:spacing w:before="2"/>
        <w:rPr>
          <w:rFonts w:ascii="Arial"/>
          <w:b/>
          <w:sz w:val="16"/>
        </w:rPr>
      </w:pPr>
      <w:r w:rsidRPr="00815796">
        <w:rPr>
          <w:noProof/>
        </w:rPr>
        <w:drawing>
          <wp:inline distT="0" distB="0" distL="0" distR="0">
            <wp:extent cx="3165475" cy="222319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223194"/>
                    </a:xfrm>
                    <a:prstGeom prst="rect">
                      <a:avLst/>
                    </a:prstGeom>
                    <a:noFill/>
                    <a:ln>
                      <a:noFill/>
                    </a:ln>
                  </pic:spPr>
                </pic:pic>
              </a:graphicData>
            </a:graphic>
          </wp:inline>
        </w:drawing>
      </w:r>
    </w:p>
    <w:p w:rsidR="00BE0959" w:rsidRDefault="005973B9" w:rsidP="005973B9">
      <w:pPr>
        <w:spacing w:line="204" w:lineRule="exact"/>
        <w:rPr>
          <w:rFonts w:ascii="Arial"/>
          <w:b/>
          <w:color w:val="BF5A14"/>
          <w:sz w:val="20"/>
        </w:rPr>
      </w:pPr>
      <w:r>
        <w:rPr>
          <w:rFonts w:ascii="Arial"/>
          <w:b/>
          <w:color w:val="BF5A14"/>
          <w:sz w:val="20"/>
        </w:rPr>
        <w:br/>
      </w:r>
      <w:r w:rsidR="00BE0959">
        <w:rPr>
          <w:rFonts w:ascii="Arial"/>
          <w:b/>
          <w:color w:val="BF5A14"/>
          <w:sz w:val="20"/>
        </w:rPr>
        <w:t>Figure:</w:t>
      </w:r>
    </w:p>
    <w:p w:rsidR="00BE0959" w:rsidRPr="00BE0959" w:rsidRDefault="00BE0959" w:rsidP="005973B9">
      <w:pPr>
        <w:spacing w:line="204" w:lineRule="exact"/>
        <w:rPr>
          <w:rFonts w:ascii="Calibri" w:eastAsia="Calibri" w:hAnsi="Calibri" w:cs="Calibri"/>
          <w:sz w:val="18"/>
        </w:rPr>
      </w:pPr>
      <w:r w:rsidRPr="00BE0959">
        <w:rPr>
          <w:rFonts w:ascii="Calibri" w:eastAsia="Calibri" w:hAnsi="Calibri" w:cs="Calibri"/>
          <w:sz w:val="18"/>
        </w:rPr>
        <w:t xml:space="preserve">Differential </w:t>
      </w:r>
      <w:r w:rsidR="004257F0">
        <w:rPr>
          <w:rFonts w:ascii="Calibri" w:eastAsia="Calibri" w:hAnsi="Calibri" w:cs="Calibri"/>
          <w:sz w:val="18"/>
        </w:rPr>
        <w:t>pathways</w:t>
      </w:r>
      <w:r w:rsidR="001626BD">
        <w:rPr>
          <w:rFonts w:ascii="Calibri" w:eastAsia="Calibri" w:hAnsi="Calibri" w:cs="Calibri"/>
          <w:sz w:val="18"/>
        </w:rPr>
        <w:t xml:space="preserve"> in</w:t>
      </w:r>
      <w:r w:rsidRPr="00BE0959">
        <w:rPr>
          <w:rFonts w:ascii="Calibri" w:eastAsia="Calibri" w:hAnsi="Calibri" w:cs="Calibri"/>
          <w:sz w:val="18"/>
        </w:rPr>
        <w:t xml:space="preserve"> SMRT versus NCoR1 KD DCs</w:t>
      </w:r>
      <w:r w:rsidR="00456193">
        <w:rPr>
          <w:rFonts w:ascii="Calibri" w:eastAsia="Calibri" w:hAnsi="Calibri" w:cs="Calibri"/>
          <w:sz w:val="18"/>
        </w:rPr>
        <w:t xml:space="preserve"> suggests a role of NR4A1-mTOR-STAT3-IL10 axis</w:t>
      </w:r>
      <w:r w:rsidR="00C27774">
        <w:rPr>
          <w:rFonts w:ascii="Calibri" w:eastAsia="Calibri" w:hAnsi="Calibri" w:cs="Calibri"/>
          <w:sz w:val="18"/>
        </w:rPr>
        <w:t xml:space="preserve"> in fine tuning </w:t>
      </w:r>
      <w:proofErr w:type="spellStart"/>
      <w:r w:rsidR="00C27774">
        <w:rPr>
          <w:rFonts w:ascii="Calibri" w:eastAsia="Calibri" w:hAnsi="Calibri" w:cs="Calibri"/>
          <w:sz w:val="18"/>
        </w:rPr>
        <w:t>tolerogenic</w:t>
      </w:r>
      <w:proofErr w:type="spellEnd"/>
      <w:r w:rsidR="00C27774">
        <w:rPr>
          <w:rFonts w:ascii="Calibri" w:eastAsia="Calibri" w:hAnsi="Calibri" w:cs="Calibri"/>
          <w:sz w:val="18"/>
        </w:rPr>
        <w:t xml:space="preserve"> versus inflammatory balance</w:t>
      </w:r>
      <w:r w:rsidR="00456193">
        <w:rPr>
          <w:rFonts w:ascii="Calibri" w:eastAsia="Calibri" w:hAnsi="Calibri" w:cs="Calibri"/>
          <w:sz w:val="18"/>
        </w:rPr>
        <w:t>.</w:t>
      </w:r>
    </w:p>
    <w:p w:rsidR="00BE0959" w:rsidRDefault="00BE095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927E69" w:rsidRPr="00927E69" w:rsidRDefault="00927E69" w:rsidP="005121F3">
      <w:pPr>
        <w:pStyle w:val="ListParagraph"/>
        <w:widowControl/>
        <w:numPr>
          <w:ilvl w:val="0"/>
          <w:numId w:val="3"/>
        </w:numPr>
        <w:shd w:val="clear" w:color="auto" w:fill="F5F5F5"/>
        <w:spacing w:before="0" w:line="240" w:lineRule="auto"/>
        <w:jc w:val="left"/>
        <w:textAlignment w:val="baseline"/>
        <w:rPr>
          <w:sz w:val="18"/>
        </w:rPr>
      </w:pPr>
      <w:r w:rsidRPr="00927E69">
        <w:rPr>
          <w:sz w:val="18"/>
        </w:rPr>
        <w:t xml:space="preserve">NCoR1 and SMRT fine-tune inflammatory versus </w:t>
      </w:r>
      <w:proofErr w:type="spellStart"/>
      <w:r w:rsidRPr="00927E69">
        <w:rPr>
          <w:sz w:val="18"/>
        </w:rPr>
        <w:t>tolerogenic</w:t>
      </w:r>
      <w:proofErr w:type="spellEnd"/>
      <w:r w:rsidRPr="00927E69">
        <w:rPr>
          <w:sz w:val="18"/>
        </w:rPr>
        <w:t xml:space="preserve"> balance in dendritic cells by differentially regulating STAT3 signaling A. </w:t>
      </w:r>
      <w:proofErr w:type="spellStart"/>
      <w:r w:rsidRPr="00927E69">
        <w:rPr>
          <w:sz w:val="18"/>
        </w:rPr>
        <w:t>Jha</w:t>
      </w:r>
      <w:proofErr w:type="spellEnd"/>
      <w:r w:rsidRPr="00927E69">
        <w:rPr>
          <w:sz w:val="18"/>
        </w:rPr>
        <w:t>, A. </w:t>
      </w:r>
      <w:proofErr w:type="spellStart"/>
      <w:r w:rsidRPr="00927E69">
        <w:rPr>
          <w:sz w:val="18"/>
        </w:rPr>
        <w:t>Ahad</w:t>
      </w:r>
      <w:proofErr w:type="spellEnd"/>
      <w:r w:rsidRPr="00927E69">
        <w:rPr>
          <w:sz w:val="18"/>
        </w:rPr>
        <w:t>, G. P. Mishra, K. Sen, S. </w:t>
      </w:r>
      <w:proofErr w:type="spellStart"/>
      <w:r w:rsidRPr="00927E69">
        <w:rPr>
          <w:sz w:val="18"/>
        </w:rPr>
        <w:t>Smita</w:t>
      </w:r>
      <w:proofErr w:type="spellEnd"/>
      <w:r w:rsidRPr="00927E69">
        <w:rPr>
          <w:sz w:val="18"/>
        </w:rPr>
        <w:t>, A. P. </w:t>
      </w:r>
      <w:proofErr w:type="spellStart"/>
      <w:r w:rsidRPr="00927E69">
        <w:rPr>
          <w:sz w:val="18"/>
        </w:rPr>
        <w:t>Minz</w:t>
      </w:r>
      <w:proofErr w:type="spellEnd"/>
      <w:r w:rsidRPr="00927E69">
        <w:rPr>
          <w:sz w:val="18"/>
        </w:rPr>
        <w:t>, V. K. Biswas, A. </w:t>
      </w:r>
      <w:proofErr w:type="spellStart"/>
      <w:r w:rsidRPr="00927E69">
        <w:rPr>
          <w:sz w:val="18"/>
        </w:rPr>
        <w:t>Tripathy</w:t>
      </w:r>
      <w:proofErr w:type="spellEnd"/>
      <w:r w:rsidRPr="00927E69">
        <w:rPr>
          <w:sz w:val="18"/>
        </w:rPr>
        <w:t>, S. B. </w:t>
      </w:r>
      <w:proofErr w:type="spellStart"/>
      <w:r w:rsidRPr="00927E69">
        <w:rPr>
          <w:sz w:val="18"/>
        </w:rPr>
        <w:t>Senapati</w:t>
      </w:r>
      <w:proofErr w:type="spellEnd"/>
      <w:r w:rsidRPr="00927E69">
        <w:rPr>
          <w:sz w:val="18"/>
        </w:rPr>
        <w:t>, B. Gupta, H. A. </w:t>
      </w:r>
      <w:proofErr w:type="spellStart"/>
      <w:r w:rsidRPr="00927E69">
        <w:rPr>
          <w:sz w:val="18"/>
        </w:rPr>
        <w:t>Orbea</w:t>
      </w:r>
      <w:proofErr w:type="spellEnd"/>
      <w:r w:rsidRPr="00927E69">
        <w:rPr>
          <w:sz w:val="18"/>
        </w:rPr>
        <w:t>, S. K. </w:t>
      </w:r>
      <w:proofErr w:type="spellStart"/>
      <w:r w:rsidRPr="00927E69">
        <w:rPr>
          <w:sz w:val="18"/>
        </w:rPr>
        <w:t>Raghav</w:t>
      </w:r>
      <w:proofErr w:type="spellEnd"/>
      <w:r w:rsidR="005B2945">
        <w:rPr>
          <w:sz w:val="18"/>
        </w:rPr>
        <w:t xml:space="preserve"> </w:t>
      </w:r>
      <w:r w:rsidRPr="00927E69">
        <w:rPr>
          <w:sz w:val="18"/>
        </w:rPr>
        <w:t>bioRxiv 2021.03.11.434976; doi: https://doi.org/10.1101/2021.03.11.434976</w:t>
      </w:r>
      <w:r w:rsidR="00375892">
        <w:rPr>
          <w:sz w:val="18"/>
        </w:rPr>
        <w:t>.</w:t>
      </w:r>
    </w:p>
    <w:p w:rsidR="00AE3E37" w:rsidRPr="00927E69" w:rsidRDefault="00AE3E37" w:rsidP="005121F3">
      <w:pPr>
        <w:rPr>
          <w:rFonts w:ascii="Calibri" w:eastAsia="Calibri" w:hAnsi="Calibri" w:cs="Calibri"/>
          <w:sz w:val="18"/>
        </w:rPr>
        <w:sectPr w:rsidR="00AE3E37" w:rsidRPr="00927E69">
          <w:type w:val="continuous"/>
          <w:pgSz w:w="11910" w:h="16840"/>
          <w:pgMar w:top="1740" w:right="600" w:bottom="840" w:left="620" w:header="720" w:footer="720" w:gutter="0"/>
          <w:cols w:num="2" w:space="720" w:equalWidth="0">
            <w:col w:w="5214" w:space="138"/>
            <w:col w:w="5338"/>
          </w:cols>
        </w:sectPr>
      </w:pPr>
    </w:p>
    <w:p w:rsidR="00AE3E37" w:rsidRPr="00375892" w:rsidRDefault="00D62425">
      <w:pPr>
        <w:pStyle w:val="BodyText"/>
        <w:rPr>
          <w:rFonts w:ascii="Calibri" w:eastAsia="Calibri" w:hAnsi="Calibri" w:cs="Calibri"/>
          <w:szCs w:val="22"/>
        </w:rPr>
      </w:pPr>
      <w:r w:rsidRPr="00375892">
        <w:rPr>
          <w:rFonts w:ascii="Calibri" w:eastAsia="Calibri" w:hAnsi="Calibri" w:cs="Calibri"/>
          <w:szCs w:val="22"/>
        </w:rPr>
        <w:t xml:space="preserve">                 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B9EA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4669F">
      <w:pPr>
        <w:spacing w:before="41" w:line="154" w:lineRule="exact"/>
        <w:ind w:left="213" w:right="231"/>
        <w:jc w:val="both"/>
        <w:rPr>
          <w:rFonts w:ascii="Arial"/>
          <w:sz w:val="14"/>
        </w:rPr>
      </w:pPr>
      <w:proofErr w:type="spellStart"/>
      <w:r>
        <w:rPr>
          <w:rFonts w:ascii="Arial"/>
          <w:sz w:val="14"/>
        </w:rPr>
        <w:t>Atimukta</w:t>
      </w:r>
      <w:proofErr w:type="spellEnd"/>
      <w:r>
        <w:rPr>
          <w:rFonts w:ascii="Arial"/>
          <w:sz w:val="14"/>
        </w:rPr>
        <w:t xml:space="preserve"> </w:t>
      </w:r>
      <w:proofErr w:type="spellStart"/>
      <w:r>
        <w:rPr>
          <w:rFonts w:ascii="Arial"/>
          <w:sz w:val="14"/>
        </w:rPr>
        <w:t>Jha</w:t>
      </w:r>
      <w:proofErr w:type="spellEnd"/>
      <w:r>
        <w:rPr>
          <w:rFonts w:ascii="Arial"/>
          <w:sz w:val="14"/>
        </w:rPr>
        <w:t xml:space="preserve"> is a PhD scholar </w:t>
      </w:r>
      <w:r w:rsidR="00AF01E6">
        <w:rPr>
          <w:rFonts w:ascii="Arial"/>
          <w:sz w:val="14"/>
        </w:rPr>
        <w:t xml:space="preserve">who is working in the field of immunology under Dr. Sunil K. </w:t>
      </w:r>
      <w:proofErr w:type="spellStart"/>
      <w:r w:rsidR="00AF01E6">
        <w:rPr>
          <w:rFonts w:ascii="Arial"/>
          <w:sz w:val="14"/>
        </w:rPr>
        <w:t>Raghav</w:t>
      </w:r>
      <w:proofErr w:type="spellEnd"/>
      <w:r w:rsidR="00CA3C72">
        <w:rPr>
          <w:rFonts w:ascii="Arial"/>
          <w:sz w:val="14"/>
        </w:rPr>
        <w:t>.</w:t>
      </w:r>
      <w:r w:rsidR="00AF01E6">
        <w:rPr>
          <w:rFonts w:ascii="Arial"/>
          <w:sz w:val="14"/>
        </w:rPr>
        <w:t xml:space="preserve"> The main focus of the work is finding</w:t>
      </w:r>
      <w:r w:rsidR="00797DFF">
        <w:rPr>
          <w:rFonts w:ascii="Arial"/>
          <w:sz w:val="14"/>
        </w:rPr>
        <w:t xml:space="preserve"> a balance between inflammatory </w:t>
      </w:r>
      <w:bookmarkStart w:id="0" w:name="_GoBack"/>
      <w:bookmarkEnd w:id="0"/>
      <w:r w:rsidR="00AF01E6">
        <w:rPr>
          <w:rFonts w:ascii="Arial"/>
          <w:sz w:val="14"/>
        </w:rPr>
        <w:t xml:space="preserve">and </w:t>
      </w:r>
      <w:proofErr w:type="spellStart"/>
      <w:r w:rsidR="00AF01E6">
        <w:rPr>
          <w:rFonts w:ascii="Arial"/>
          <w:sz w:val="14"/>
        </w:rPr>
        <w:t>tolerogenic</w:t>
      </w:r>
      <w:proofErr w:type="spellEnd"/>
      <w:r w:rsidR="00AF01E6">
        <w:rPr>
          <w:rFonts w:ascii="Arial"/>
          <w:sz w:val="14"/>
        </w:rPr>
        <w:t xml:space="preserve"> functions of dendritic cells and using system</w:t>
      </w:r>
      <w:r w:rsidR="00AF01E6">
        <w:rPr>
          <w:rFonts w:ascii="Arial"/>
          <w:sz w:val="14"/>
        </w:rPr>
        <w:t>’</w:t>
      </w:r>
      <w:r w:rsidR="00AF01E6">
        <w:rPr>
          <w:rFonts w:ascii="Arial"/>
          <w:sz w:val="14"/>
        </w:rPr>
        <w:t>s biology approach to unravel the genome wide view.</w:t>
      </w:r>
    </w:p>
    <w:p w:rsidR="00AE3E37" w:rsidRDefault="00A9710C">
      <w:pPr>
        <w:spacing w:before="62"/>
        <w:ind w:left="4217" w:right="4235"/>
        <w:jc w:val="center"/>
        <w:rPr>
          <w:rFonts w:ascii="Arial"/>
          <w:sz w:val="14"/>
        </w:rPr>
      </w:pPr>
      <w:r>
        <w:rPr>
          <w:rFonts w:ascii="Arial"/>
          <w:sz w:val="14"/>
        </w:rPr>
        <w:t xml:space="preserve">Email: </w:t>
      </w:r>
      <w:hyperlink r:id="rId11" w:history="1">
        <w:r w:rsidR="00F44AE8" w:rsidRPr="0009545C">
          <w:rPr>
            <w:rStyle w:val="Hyperlink"/>
            <w:rFonts w:ascii="Arial"/>
            <w:sz w:val="14"/>
          </w:rPr>
          <w:t>ajmuktaj917@gmail.com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ACA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B22" w:rsidRDefault="00316B22">
      <w:r>
        <w:separator/>
      </w:r>
    </w:p>
  </w:endnote>
  <w:endnote w:type="continuationSeparator" w:id="0">
    <w:p w:rsidR="00316B22" w:rsidRDefault="00316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B22" w:rsidRDefault="00316B22">
      <w:r>
        <w:separator/>
      </w:r>
    </w:p>
  </w:footnote>
  <w:footnote w:type="continuationSeparator" w:id="0">
    <w:p w:rsidR="00316B22" w:rsidRDefault="00316B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2A62"/>
    <w:rsid w:val="001263DF"/>
    <w:rsid w:val="001626BD"/>
    <w:rsid w:val="00197EC3"/>
    <w:rsid w:val="001E763C"/>
    <w:rsid w:val="00292ED9"/>
    <w:rsid w:val="00305E81"/>
    <w:rsid w:val="00314AFB"/>
    <w:rsid w:val="00316B22"/>
    <w:rsid w:val="00375892"/>
    <w:rsid w:val="003B76D9"/>
    <w:rsid w:val="00404E5B"/>
    <w:rsid w:val="00414F7B"/>
    <w:rsid w:val="004257F0"/>
    <w:rsid w:val="004355DC"/>
    <w:rsid w:val="00456193"/>
    <w:rsid w:val="004749B4"/>
    <w:rsid w:val="00494130"/>
    <w:rsid w:val="004A41C6"/>
    <w:rsid w:val="004D2E82"/>
    <w:rsid w:val="004E30A7"/>
    <w:rsid w:val="004F3523"/>
    <w:rsid w:val="005121F3"/>
    <w:rsid w:val="005973B9"/>
    <w:rsid w:val="005B2945"/>
    <w:rsid w:val="005B3A56"/>
    <w:rsid w:val="005C565A"/>
    <w:rsid w:val="006060CE"/>
    <w:rsid w:val="0063497F"/>
    <w:rsid w:val="0064669F"/>
    <w:rsid w:val="0078738A"/>
    <w:rsid w:val="00797DFF"/>
    <w:rsid w:val="007C2B38"/>
    <w:rsid w:val="00815796"/>
    <w:rsid w:val="00873DF0"/>
    <w:rsid w:val="008756E6"/>
    <w:rsid w:val="008F12A1"/>
    <w:rsid w:val="00925F55"/>
    <w:rsid w:val="00927E69"/>
    <w:rsid w:val="009B2D44"/>
    <w:rsid w:val="009D32BF"/>
    <w:rsid w:val="00A07E82"/>
    <w:rsid w:val="00A561FA"/>
    <w:rsid w:val="00A9710C"/>
    <w:rsid w:val="00AE3E37"/>
    <w:rsid w:val="00AF01E6"/>
    <w:rsid w:val="00B02EEE"/>
    <w:rsid w:val="00B21A57"/>
    <w:rsid w:val="00BE0959"/>
    <w:rsid w:val="00C27774"/>
    <w:rsid w:val="00C33602"/>
    <w:rsid w:val="00CA3C72"/>
    <w:rsid w:val="00CD6F55"/>
    <w:rsid w:val="00D62425"/>
    <w:rsid w:val="00DE3104"/>
    <w:rsid w:val="00F44AE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A405B5-334D-46B9-B4FC-E00D089A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wire-citation-authors">
    <w:name w:val="highwire-citation-authors"/>
    <w:basedOn w:val="DefaultParagraphFont"/>
    <w:rsid w:val="00927E69"/>
  </w:style>
  <w:style w:type="character" w:customStyle="1" w:styleId="highwire-citation-author">
    <w:name w:val="highwire-citation-author"/>
    <w:basedOn w:val="DefaultParagraphFont"/>
    <w:rsid w:val="00927E69"/>
  </w:style>
  <w:style w:type="character" w:customStyle="1" w:styleId="nlm-given-names">
    <w:name w:val="nlm-given-names"/>
    <w:basedOn w:val="DefaultParagraphFont"/>
    <w:rsid w:val="00927E69"/>
  </w:style>
  <w:style w:type="character" w:customStyle="1" w:styleId="nlm-surname">
    <w:name w:val="nlm-surname"/>
    <w:basedOn w:val="DefaultParagraphFont"/>
    <w:rsid w:val="00927E69"/>
  </w:style>
  <w:style w:type="character" w:customStyle="1" w:styleId="highwire-cite-metadata-journal">
    <w:name w:val="highwire-cite-metadata-journal"/>
    <w:basedOn w:val="DefaultParagraphFont"/>
    <w:rsid w:val="00927E69"/>
  </w:style>
  <w:style w:type="character" w:customStyle="1" w:styleId="highwire-cite-metadata-pages">
    <w:name w:val="highwire-cite-metadata-pages"/>
    <w:basedOn w:val="DefaultParagraphFont"/>
    <w:rsid w:val="00927E69"/>
  </w:style>
  <w:style w:type="character" w:customStyle="1" w:styleId="highwire-cite-metadata-doi">
    <w:name w:val="highwire-cite-metadata-doi"/>
    <w:basedOn w:val="DefaultParagraphFont"/>
    <w:rsid w:val="00927E69"/>
  </w:style>
  <w:style w:type="character" w:customStyle="1" w:styleId="doilabel">
    <w:name w:val="doi_label"/>
    <w:basedOn w:val="DefaultParagraphFont"/>
    <w:rsid w:val="00927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954098">
      <w:bodyDiv w:val="1"/>
      <w:marLeft w:val="0"/>
      <w:marRight w:val="0"/>
      <w:marTop w:val="0"/>
      <w:marBottom w:val="0"/>
      <w:divBdr>
        <w:top w:val="none" w:sz="0" w:space="0" w:color="auto"/>
        <w:left w:val="none" w:sz="0" w:space="0" w:color="auto"/>
        <w:bottom w:val="none" w:sz="0" w:space="0" w:color="auto"/>
        <w:right w:val="none" w:sz="0" w:space="0" w:color="auto"/>
      </w:divBdr>
      <w:divsChild>
        <w:div w:id="381445691">
          <w:marLeft w:val="0"/>
          <w:marRight w:val="0"/>
          <w:marTop w:val="0"/>
          <w:marBottom w:val="0"/>
          <w:divBdr>
            <w:top w:val="none" w:sz="0" w:space="0" w:color="auto"/>
            <w:left w:val="none" w:sz="0" w:space="0" w:color="auto"/>
            <w:bottom w:val="none" w:sz="0" w:space="0" w:color="auto"/>
            <w:right w:val="none" w:sz="0" w:space="0" w:color="auto"/>
          </w:divBdr>
          <w:divsChild>
            <w:div w:id="794368763">
              <w:marLeft w:val="0"/>
              <w:marRight w:val="0"/>
              <w:marTop w:val="0"/>
              <w:marBottom w:val="0"/>
              <w:divBdr>
                <w:top w:val="none" w:sz="0" w:space="0" w:color="auto"/>
                <w:left w:val="none" w:sz="0" w:space="0" w:color="auto"/>
                <w:bottom w:val="none" w:sz="0" w:space="0" w:color="auto"/>
                <w:right w:val="none" w:sz="0" w:space="0" w:color="auto"/>
              </w:divBdr>
            </w:div>
          </w:divsChild>
        </w:div>
        <w:div w:id="122045745">
          <w:marLeft w:val="0"/>
          <w:marRight w:val="0"/>
          <w:marTop w:val="75"/>
          <w:marBottom w:val="0"/>
          <w:divBdr>
            <w:top w:val="none" w:sz="0" w:space="0" w:color="auto"/>
            <w:left w:val="none" w:sz="0" w:space="0" w:color="auto"/>
            <w:bottom w:val="none" w:sz="0" w:space="0" w:color="auto"/>
            <w:right w:val="none" w:sz="0" w:space="0" w:color="auto"/>
          </w:divBdr>
        </w:div>
        <w:div w:id="26874054">
          <w:marLeft w:val="0"/>
          <w:marRight w:val="0"/>
          <w:marTop w:val="75"/>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jmuktaj91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Ati</cp:lastModifiedBy>
  <cp:revision>112</cp:revision>
  <dcterms:created xsi:type="dcterms:W3CDTF">2021-07-22T17:58:00Z</dcterms:created>
  <dcterms:modified xsi:type="dcterms:W3CDTF">2021-07-24T09:01:00Z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