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121" w:rsidRPr="00BC550D" w:rsidRDefault="00A26121" w:rsidP="0075779D">
      <w:pPr>
        <w:spacing w:line="240" w:lineRule="auto"/>
        <w:jc w:val="both"/>
        <w:rPr>
          <w:rFonts w:cstheme="minorHAnsi"/>
          <w:b/>
          <w:sz w:val="24"/>
          <w:szCs w:val="24"/>
        </w:rPr>
      </w:pPr>
      <w:r w:rsidRPr="00BC550D">
        <w:rPr>
          <w:rFonts w:cstheme="minorHAnsi"/>
          <w:b/>
          <w:spacing w:val="8"/>
          <w:sz w:val="24"/>
          <w:szCs w:val="24"/>
          <w:shd w:val="clear" w:color="auto" w:fill="FFFFFF"/>
        </w:rPr>
        <w:t>Heme Oxygenase-1 and Neopterin Plasma/Serum Levels and their role in Diagnosing Active and Latent TB among HIV/TB Co-Infected Patients</w:t>
      </w:r>
    </w:p>
    <w:p w:rsidR="00A26121" w:rsidRPr="0022269A" w:rsidRDefault="00A26121" w:rsidP="0075779D">
      <w:pPr>
        <w:spacing w:line="240" w:lineRule="auto"/>
        <w:jc w:val="both"/>
        <w:rPr>
          <w:rFonts w:cstheme="minorHAnsi"/>
          <w:sz w:val="21"/>
          <w:szCs w:val="21"/>
        </w:rPr>
      </w:pPr>
      <w:r w:rsidRPr="0022269A">
        <w:rPr>
          <w:rFonts w:cstheme="minorHAnsi"/>
          <w:sz w:val="21"/>
          <w:szCs w:val="21"/>
        </w:rPr>
        <w:t>Esther Uwimaana</w:t>
      </w:r>
      <w:r w:rsidRPr="0022269A">
        <w:rPr>
          <w:rFonts w:cstheme="minorHAnsi"/>
          <w:sz w:val="21"/>
          <w:szCs w:val="21"/>
          <w:vertAlign w:val="superscript"/>
        </w:rPr>
        <w:t>1</w:t>
      </w:r>
      <w:r w:rsidRPr="0022269A">
        <w:rPr>
          <w:rFonts w:cstheme="minorHAnsi"/>
          <w:sz w:val="21"/>
          <w:szCs w:val="21"/>
        </w:rPr>
        <w:t>, Bernard S Bagaya</w:t>
      </w:r>
      <w:r w:rsidRPr="0022269A">
        <w:rPr>
          <w:rFonts w:cstheme="minorHAnsi"/>
          <w:sz w:val="21"/>
          <w:szCs w:val="21"/>
          <w:vertAlign w:val="superscript"/>
        </w:rPr>
        <w:t>1</w:t>
      </w:r>
      <w:r w:rsidRPr="0022269A">
        <w:rPr>
          <w:rFonts w:cstheme="minorHAnsi"/>
          <w:sz w:val="21"/>
          <w:szCs w:val="21"/>
        </w:rPr>
        <w:t>, Barbara Castelnuovo</w:t>
      </w:r>
      <w:r w:rsidRPr="0022269A">
        <w:rPr>
          <w:rFonts w:cstheme="minorHAnsi"/>
          <w:sz w:val="21"/>
          <w:szCs w:val="21"/>
          <w:vertAlign w:val="superscript"/>
        </w:rPr>
        <w:t>2</w:t>
      </w:r>
      <w:r w:rsidRPr="0022269A">
        <w:rPr>
          <w:rFonts w:cstheme="minorHAnsi"/>
          <w:sz w:val="21"/>
          <w:szCs w:val="21"/>
        </w:rPr>
        <w:t>,</w:t>
      </w:r>
      <w:r w:rsidRPr="0022269A">
        <w:rPr>
          <w:rFonts w:cstheme="minorHAnsi"/>
          <w:sz w:val="21"/>
          <w:szCs w:val="21"/>
          <w:vertAlign w:val="superscript"/>
        </w:rPr>
        <w:t xml:space="preserve"> </w:t>
      </w:r>
      <w:r w:rsidRPr="0022269A">
        <w:rPr>
          <w:rFonts w:cstheme="minorHAnsi"/>
          <w:sz w:val="21"/>
          <w:szCs w:val="21"/>
        </w:rPr>
        <w:t>David P Kateete</w:t>
      </w:r>
      <w:r w:rsidRPr="0022269A">
        <w:rPr>
          <w:rFonts w:cstheme="minorHAnsi"/>
          <w:sz w:val="21"/>
          <w:szCs w:val="21"/>
          <w:vertAlign w:val="superscript"/>
        </w:rPr>
        <w:t>1</w:t>
      </w:r>
      <w:r w:rsidRPr="0022269A">
        <w:rPr>
          <w:rFonts w:cstheme="minorHAnsi"/>
          <w:sz w:val="21"/>
          <w:szCs w:val="21"/>
        </w:rPr>
        <w:t>, Anguzu Godwin</w:t>
      </w:r>
      <w:r w:rsidRPr="0022269A">
        <w:rPr>
          <w:rFonts w:cstheme="minorHAnsi"/>
          <w:sz w:val="21"/>
          <w:szCs w:val="21"/>
          <w:vertAlign w:val="superscript"/>
        </w:rPr>
        <w:t>2</w:t>
      </w:r>
      <w:r w:rsidRPr="0022269A">
        <w:rPr>
          <w:rFonts w:cstheme="minorHAnsi"/>
          <w:sz w:val="21"/>
          <w:szCs w:val="21"/>
        </w:rPr>
        <w:t>, Noah   Kiwanuka</w:t>
      </w:r>
      <w:r w:rsidRPr="0022269A">
        <w:rPr>
          <w:rFonts w:cstheme="minorHAnsi"/>
          <w:sz w:val="21"/>
          <w:szCs w:val="21"/>
          <w:vertAlign w:val="superscript"/>
        </w:rPr>
        <w:t>3</w:t>
      </w:r>
      <w:r w:rsidRPr="0022269A">
        <w:rPr>
          <w:rFonts w:cstheme="minorHAnsi"/>
          <w:sz w:val="21"/>
          <w:szCs w:val="21"/>
        </w:rPr>
        <w:t>, Christopher C. Whalen</w:t>
      </w:r>
      <w:r w:rsidRPr="0022269A">
        <w:rPr>
          <w:rFonts w:cstheme="minorHAnsi"/>
          <w:sz w:val="21"/>
          <w:szCs w:val="21"/>
          <w:vertAlign w:val="superscript"/>
        </w:rPr>
        <w:t>4</w:t>
      </w:r>
      <w:r w:rsidRPr="0022269A">
        <w:rPr>
          <w:rFonts w:cstheme="minorHAnsi"/>
          <w:sz w:val="21"/>
          <w:szCs w:val="21"/>
        </w:rPr>
        <w:t>, Moses Joloba</w:t>
      </w:r>
      <w:r w:rsidRPr="0022269A">
        <w:rPr>
          <w:rFonts w:cstheme="minorHAnsi"/>
          <w:sz w:val="21"/>
          <w:szCs w:val="21"/>
          <w:vertAlign w:val="superscript"/>
        </w:rPr>
        <w:t>1</w:t>
      </w:r>
    </w:p>
    <w:p w:rsidR="00A26121" w:rsidRPr="0022269A" w:rsidRDefault="00A26121" w:rsidP="0075779D">
      <w:pPr>
        <w:spacing w:after="0" w:line="240" w:lineRule="auto"/>
        <w:jc w:val="both"/>
        <w:rPr>
          <w:rFonts w:cstheme="minorHAnsi"/>
          <w:sz w:val="21"/>
          <w:szCs w:val="21"/>
          <w:vertAlign w:val="superscript"/>
        </w:rPr>
      </w:pPr>
      <w:r w:rsidRPr="0022269A">
        <w:rPr>
          <w:rFonts w:cstheme="minorHAnsi"/>
          <w:sz w:val="21"/>
          <w:szCs w:val="21"/>
        </w:rPr>
        <w:t>Makerere University College of Health Sciences School of Biomedical Sciences Department Immunology and Molecular Biology</w:t>
      </w:r>
      <w:r w:rsidRPr="0022269A">
        <w:rPr>
          <w:rFonts w:cstheme="minorHAnsi"/>
          <w:b/>
          <w:sz w:val="21"/>
          <w:szCs w:val="21"/>
          <w:vertAlign w:val="superscript"/>
        </w:rPr>
        <w:t>1</w:t>
      </w:r>
      <w:r w:rsidRPr="0022269A">
        <w:rPr>
          <w:rFonts w:cstheme="minorHAnsi"/>
          <w:sz w:val="21"/>
          <w:szCs w:val="21"/>
        </w:rPr>
        <w:t>, Infectious Diseases Institute Makerere University</w:t>
      </w:r>
      <w:r w:rsidRPr="0022269A">
        <w:rPr>
          <w:rFonts w:cstheme="minorHAnsi"/>
          <w:b/>
          <w:sz w:val="21"/>
          <w:szCs w:val="21"/>
          <w:vertAlign w:val="superscript"/>
        </w:rPr>
        <w:t>2</w:t>
      </w:r>
      <w:r w:rsidRPr="0022269A">
        <w:rPr>
          <w:rFonts w:cstheme="minorHAnsi"/>
          <w:sz w:val="21"/>
          <w:szCs w:val="21"/>
        </w:rPr>
        <w:t xml:space="preserve">, Makerere University College of Health Sciences School of Public Health </w:t>
      </w:r>
      <w:r w:rsidRPr="0022269A">
        <w:rPr>
          <w:rFonts w:cstheme="minorHAnsi"/>
          <w:b/>
          <w:sz w:val="21"/>
          <w:szCs w:val="21"/>
          <w:vertAlign w:val="superscript"/>
        </w:rPr>
        <w:t>3</w:t>
      </w:r>
      <w:r w:rsidRPr="0022269A">
        <w:rPr>
          <w:rFonts w:cstheme="minorHAnsi"/>
          <w:sz w:val="21"/>
          <w:szCs w:val="21"/>
        </w:rPr>
        <w:t>, University of Georgia USA</w:t>
      </w:r>
      <w:r w:rsidRPr="0022269A">
        <w:rPr>
          <w:rFonts w:cstheme="minorHAnsi"/>
          <w:b/>
          <w:sz w:val="21"/>
          <w:szCs w:val="21"/>
          <w:vertAlign w:val="superscript"/>
        </w:rPr>
        <w:t>4</w:t>
      </w:r>
    </w:p>
    <w:p w:rsidR="00A26121" w:rsidRPr="0022269A" w:rsidRDefault="00A26121" w:rsidP="0075779D">
      <w:pPr>
        <w:spacing w:after="0" w:line="240" w:lineRule="auto"/>
        <w:ind w:left="-1134" w:firstLine="1134"/>
        <w:jc w:val="both"/>
        <w:rPr>
          <w:rFonts w:cstheme="minorHAnsi"/>
          <w:sz w:val="21"/>
          <w:szCs w:val="21"/>
        </w:rPr>
      </w:pPr>
      <w:r w:rsidRPr="0022269A">
        <w:rPr>
          <w:rFonts w:cstheme="minorHAnsi"/>
          <w:sz w:val="21"/>
          <w:szCs w:val="21"/>
        </w:rPr>
        <w:t xml:space="preserve">Immunology Laboratory, School of Biomedical Sciences Makerere University, Kampala Uganda </w:t>
      </w:r>
    </w:p>
    <w:p w:rsidR="00A26121" w:rsidRPr="0022269A" w:rsidRDefault="00A26121" w:rsidP="0075779D">
      <w:pPr>
        <w:spacing w:after="0" w:line="240" w:lineRule="auto"/>
        <w:ind w:left="-1134" w:firstLine="1134"/>
        <w:jc w:val="both"/>
        <w:rPr>
          <w:rFonts w:cstheme="minorHAnsi"/>
          <w:sz w:val="21"/>
          <w:szCs w:val="21"/>
        </w:rPr>
      </w:pPr>
      <w:r w:rsidRPr="0022269A">
        <w:rPr>
          <w:rFonts w:cstheme="minorHAnsi"/>
          <w:sz w:val="21"/>
          <w:szCs w:val="21"/>
        </w:rPr>
        <w:t xml:space="preserve">*E-mail: </w:t>
      </w:r>
      <w:hyperlink r:id="rId4" w:history="1">
        <w:r w:rsidR="00005695" w:rsidRPr="0022269A">
          <w:rPr>
            <w:rStyle w:val="Hyperlink"/>
            <w:rFonts w:cstheme="minorHAnsi"/>
            <w:sz w:val="21"/>
            <w:szCs w:val="21"/>
          </w:rPr>
          <w:t>uwimaana@gmail.com</w:t>
        </w:r>
      </w:hyperlink>
    </w:p>
    <w:p w:rsidR="00005695" w:rsidRPr="0022269A" w:rsidRDefault="00005695" w:rsidP="0075779D">
      <w:pPr>
        <w:spacing w:after="0" w:line="240" w:lineRule="auto"/>
        <w:ind w:left="-1134" w:firstLine="1134"/>
        <w:jc w:val="both"/>
        <w:rPr>
          <w:rFonts w:cstheme="minorHAnsi"/>
          <w:sz w:val="21"/>
          <w:szCs w:val="21"/>
        </w:rPr>
      </w:pPr>
    </w:p>
    <w:p w:rsidR="00992EDA" w:rsidRDefault="00A26121" w:rsidP="00765DBB">
      <w:pPr>
        <w:pStyle w:val="NormalWeb"/>
        <w:spacing w:before="0" w:beforeAutospacing="0" w:after="0" w:afterAutospacing="0" w:line="276" w:lineRule="auto"/>
        <w:jc w:val="both"/>
        <w:rPr>
          <w:rFonts w:asciiTheme="minorHAnsi" w:hAnsiTheme="minorHAnsi" w:cstheme="minorHAnsi"/>
          <w:color w:val="000000"/>
          <w:spacing w:val="8"/>
          <w:sz w:val="22"/>
          <w:szCs w:val="22"/>
        </w:rPr>
      </w:pPr>
      <w:r w:rsidRPr="00992EDA">
        <w:rPr>
          <w:rFonts w:asciiTheme="minorHAnsi" w:hAnsiTheme="minorHAnsi" w:cstheme="minorHAnsi"/>
          <w:b/>
          <w:color w:val="000000"/>
          <w:spacing w:val="8"/>
          <w:sz w:val="22"/>
          <w:szCs w:val="22"/>
        </w:rPr>
        <w:t>Background</w:t>
      </w:r>
      <w:r w:rsidRPr="0022269A">
        <w:rPr>
          <w:rFonts w:asciiTheme="minorHAnsi" w:hAnsiTheme="minorHAnsi" w:cstheme="minorHAnsi"/>
          <w:color w:val="000000"/>
          <w:spacing w:val="8"/>
          <w:sz w:val="22"/>
          <w:szCs w:val="22"/>
        </w:rPr>
        <w:t xml:space="preserve">: Tuberculosis(TB) diagnosis in the presence of HIV co-infection remains challenging. Heme oxygenase 1(HO-1) and neopterin have been validated as potential biomarkers for TB diagnosis. Infection of macrophages with </w:t>
      </w:r>
      <w:r w:rsidRPr="0022269A">
        <w:rPr>
          <w:rFonts w:asciiTheme="minorHAnsi" w:hAnsiTheme="minorHAnsi" w:cstheme="minorHAnsi"/>
          <w:i/>
          <w:color w:val="000000"/>
          <w:spacing w:val="8"/>
          <w:sz w:val="22"/>
          <w:szCs w:val="22"/>
        </w:rPr>
        <w:t>Mycobacterium tuberculosis</w:t>
      </w:r>
      <w:r w:rsidRPr="0022269A">
        <w:rPr>
          <w:rFonts w:asciiTheme="minorHAnsi" w:hAnsiTheme="minorHAnsi" w:cstheme="minorHAnsi"/>
          <w:color w:val="000000"/>
          <w:spacing w:val="8"/>
          <w:sz w:val="22"/>
          <w:szCs w:val="22"/>
        </w:rPr>
        <w:t xml:space="preserve"> </w:t>
      </w:r>
      <w:r w:rsidRPr="0022269A">
        <w:rPr>
          <w:rFonts w:asciiTheme="minorHAnsi" w:hAnsiTheme="minorHAnsi" w:cstheme="minorHAnsi"/>
          <w:i/>
          <w:color w:val="000000"/>
          <w:spacing w:val="8"/>
          <w:sz w:val="22"/>
          <w:szCs w:val="22"/>
        </w:rPr>
        <w:t>(M. tb</w:t>
      </w:r>
      <w:r w:rsidRPr="0022269A">
        <w:rPr>
          <w:rFonts w:asciiTheme="minorHAnsi" w:hAnsiTheme="minorHAnsi" w:cstheme="minorHAnsi"/>
          <w:color w:val="000000"/>
          <w:spacing w:val="8"/>
          <w:sz w:val="22"/>
          <w:szCs w:val="22"/>
        </w:rPr>
        <w:t>) causes the production of HO-1 and neopterin and previous studies have shown these to be markers of immune activation. This study was conducted to determine the levels of HO-1 and neopterin and their utility in the diagnosis of TB among individuals enrolled in the COHSONET study</w:t>
      </w:r>
      <w:r w:rsidR="00736C15">
        <w:rPr>
          <w:rFonts w:asciiTheme="minorHAnsi" w:hAnsiTheme="minorHAnsi" w:cstheme="minorHAnsi"/>
          <w:color w:val="000000"/>
          <w:spacing w:val="8"/>
          <w:sz w:val="22"/>
          <w:szCs w:val="22"/>
        </w:rPr>
        <w:t>.</w:t>
      </w:r>
    </w:p>
    <w:p w:rsidR="00F929F4" w:rsidRDefault="00992EDA" w:rsidP="00765DBB">
      <w:pPr>
        <w:pStyle w:val="NormalWeb"/>
        <w:spacing w:before="0" w:beforeAutospacing="0" w:after="0" w:afterAutospacing="0" w:line="276" w:lineRule="auto"/>
        <w:jc w:val="both"/>
        <w:rPr>
          <w:rFonts w:asciiTheme="minorHAnsi" w:hAnsiTheme="minorHAnsi" w:cstheme="minorHAnsi"/>
          <w:color w:val="000000"/>
          <w:spacing w:val="8"/>
          <w:sz w:val="22"/>
          <w:szCs w:val="22"/>
        </w:rPr>
      </w:pPr>
      <w:r w:rsidRPr="00992EDA">
        <w:rPr>
          <w:rFonts w:asciiTheme="minorHAnsi" w:hAnsiTheme="minorHAnsi" w:cstheme="minorHAnsi"/>
          <w:b/>
          <w:color w:val="000000"/>
          <w:spacing w:val="8"/>
          <w:sz w:val="22"/>
          <w:szCs w:val="22"/>
        </w:rPr>
        <w:t>Methods:</w:t>
      </w:r>
      <w:r w:rsidR="00A26121" w:rsidRPr="0022269A">
        <w:rPr>
          <w:rFonts w:asciiTheme="minorHAnsi" w:hAnsiTheme="minorHAnsi" w:cstheme="minorHAnsi"/>
          <w:color w:val="000000"/>
          <w:spacing w:val="8"/>
          <w:sz w:val="22"/>
          <w:szCs w:val="22"/>
        </w:rPr>
        <w:t xml:space="preserve">  A total of 210 participants were enrolled in a study of a diagnostic method aimed at determining the levels of HO-1 and neopterin and determine their diagnostic accuracy as biomarkers in TB diagnosis from March to May 2019. M. tb culture was performed on sputum to confirm active TB(ATB) and QuantiFERON TB gold test to confirm latent TB infection(LTBI). ELISAs were performed to determine the levels of HO-1 and neopterin. Data analysis was done using Kruskal Wallis and </w:t>
      </w:r>
      <w:r w:rsidR="00736C15">
        <w:rPr>
          <w:rFonts w:asciiTheme="minorHAnsi" w:hAnsiTheme="minorHAnsi" w:cstheme="minorHAnsi"/>
          <w:color w:val="000000"/>
          <w:spacing w:val="8"/>
          <w:sz w:val="22"/>
          <w:szCs w:val="22"/>
        </w:rPr>
        <w:t xml:space="preserve">ROC </w:t>
      </w:r>
      <w:r w:rsidR="00A26121" w:rsidRPr="0022269A">
        <w:rPr>
          <w:rFonts w:asciiTheme="minorHAnsi" w:hAnsiTheme="minorHAnsi" w:cstheme="minorHAnsi"/>
          <w:color w:val="000000"/>
          <w:spacing w:val="8"/>
          <w:sz w:val="22"/>
          <w:szCs w:val="22"/>
        </w:rPr>
        <w:t>curves.</w:t>
      </w:r>
    </w:p>
    <w:p w:rsidR="00A26121" w:rsidRPr="0022269A" w:rsidRDefault="00992EDA" w:rsidP="0075779D">
      <w:pPr>
        <w:pStyle w:val="NormalWeb"/>
        <w:spacing w:before="0" w:beforeAutospacing="0" w:after="0" w:afterAutospacing="0" w:line="276" w:lineRule="auto"/>
        <w:jc w:val="both"/>
        <w:rPr>
          <w:rFonts w:asciiTheme="minorHAnsi" w:hAnsiTheme="minorHAnsi" w:cstheme="minorHAnsi"/>
          <w:color w:val="000000"/>
          <w:spacing w:val="8"/>
          <w:sz w:val="22"/>
          <w:szCs w:val="22"/>
        </w:rPr>
      </w:pPr>
      <w:r>
        <w:rPr>
          <w:rFonts w:asciiTheme="minorHAnsi" w:hAnsiTheme="minorHAnsi" w:cstheme="minorHAnsi"/>
          <w:color w:val="000000"/>
          <w:spacing w:val="8"/>
          <w:sz w:val="22"/>
          <w:szCs w:val="22"/>
        </w:rPr>
        <w:t xml:space="preserve"> </w:t>
      </w:r>
      <w:r w:rsidR="00A26121" w:rsidRPr="00992EDA">
        <w:rPr>
          <w:rFonts w:asciiTheme="minorHAnsi" w:hAnsiTheme="minorHAnsi" w:cstheme="minorHAnsi"/>
          <w:b/>
          <w:color w:val="000000"/>
          <w:spacing w:val="8"/>
          <w:sz w:val="22"/>
          <w:szCs w:val="22"/>
        </w:rPr>
        <w:t>Results:</w:t>
      </w:r>
      <w:r w:rsidR="00A26121" w:rsidRPr="0022269A">
        <w:rPr>
          <w:rFonts w:asciiTheme="minorHAnsi" w:hAnsiTheme="minorHAnsi" w:cstheme="minorHAnsi"/>
          <w:color w:val="000000"/>
          <w:spacing w:val="8"/>
          <w:sz w:val="22"/>
          <w:szCs w:val="22"/>
        </w:rPr>
        <w:t xml:space="preserve"> HO-1 levels a</w:t>
      </w:r>
      <w:bookmarkStart w:id="0" w:name="_GoBack"/>
      <w:bookmarkEnd w:id="0"/>
      <w:r w:rsidR="00A26121" w:rsidRPr="0022269A">
        <w:rPr>
          <w:rFonts w:asciiTheme="minorHAnsi" w:hAnsiTheme="minorHAnsi" w:cstheme="minorHAnsi"/>
          <w:color w:val="000000"/>
          <w:spacing w:val="8"/>
          <w:sz w:val="22"/>
          <w:szCs w:val="22"/>
        </w:rPr>
        <w:t xml:space="preserve">mong ATB/HIV patients, LTBI/HIV patients and TB negative individuals were 10.7ng/ml (IQR: 7.3-12.7ng/ml), 7.5ng/ml (IQR: 5.4-14.1ng/ml), 3.3ng/ml (IQR: 2.0-7.1ng/ml) respectively. Neopterin levels among ATB/HIV patients, LTBI/HIV patients and TB negative individuals were 11.7ng/ml (IQR: 5.219.4ng/ml), 8.8ng/ml (IQR: 2.4-19.8ng/ml), and 5.9ng/ml (IQR: 3.410.2ng/ml) respectively. HO-1 showed a sensitivity of 78.57% and a specificity of 71.43% with area under the curve(AUC) of 0.839 when used to diagnose ATB. HO-1 showed AUC of 0.79, </w:t>
      </w:r>
      <w:r w:rsidR="00334453">
        <w:rPr>
          <w:rFonts w:asciiTheme="minorHAnsi" w:hAnsiTheme="minorHAnsi" w:cstheme="minorHAnsi"/>
          <w:color w:val="000000"/>
          <w:spacing w:val="8"/>
          <w:sz w:val="22"/>
          <w:szCs w:val="22"/>
        </w:rPr>
        <w:t xml:space="preserve">the </w:t>
      </w:r>
      <w:r w:rsidR="00A26121" w:rsidRPr="0022269A">
        <w:rPr>
          <w:rFonts w:asciiTheme="minorHAnsi" w:hAnsiTheme="minorHAnsi" w:cstheme="minorHAnsi"/>
          <w:color w:val="000000"/>
          <w:spacing w:val="8"/>
          <w:sz w:val="22"/>
          <w:szCs w:val="22"/>
        </w:rPr>
        <w:t>sensitivity of 70% and specificity 70% when used to diagnose LTB. Neopterin showed a sensitivity of 61.43% and a specificity of 74.29% with AUC 0.71 when used to diagnose ATB. Conclusion: HO-1 and neopterin are valuable diagnostic biomarkers for ATB and LTB which could be further utilized to develop less costly rapid diagnostic tools to overcome current TB diagnostic challenges.</w:t>
      </w:r>
    </w:p>
    <w:p w:rsidR="00F4037E" w:rsidRDefault="00736C15" w:rsidP="0075779D">
      <w:pPr>
        <w:spacing w:after="0" w:line="276" w:lineRule="auto"/>
        <w:jc w:val="both"/>
        <w:rPr>
          <w:rFonts w:cstheme="minorHAnsi"/>
          <w:b/>
        </w:rPr>
      </w:pPr>
      <w:r w:rsidRPr="00736C15">
        <w:rPr>
          <w:rFonts w:cstheme="minorHAnsi"/>
          <w:b/>
        </w:rPr>
        <w:t>Biography</w:t>
      </w:r>
    </w:p>
    <w:p w:rsidR="00736C15" w:rsidRPr="00736C15" w:rsidRDefault="00736C15" w:rsidP="0075779D">
      <w:pPr>
        <w:spacing w:line="276" w:lineRule="auto"/>
        <w:jc w:val="both"/>
        <w:rPr>
          <w:rFonts w:cs="Arial"/>
        </w:rPr>
      </w:pPr>
      <w:r w:rsidRPr="00736C15">
        <w:rPr>
          <w:rFonts w:cs="Arial"/>
        </w:rPr>
        <w:t>A self-motivated young scientist with over 2 years’ experience in scientific research, specialized in clinical immunology and microbiology. I am interested in non-communicable diseases and infectious diseases research with more focus on diseases that affect lung health, driven by the high burden of chronic lung disease and infectious lung diseases in our country/sub-Saharan region, and several challenges associated with the diagnosis of these diseases. My goal is to collaborate with other researchers/Institutions which will enable me to gain scientific research skills to become a better researcher contributing to high-quality health research in Africa.</w:t>
      </w:r>
    </w:p>
    <w:sectPr w:rsidR="00736C15" w:rsidRPr="00736C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wNzE2srSwMLcwMjBT0lEKTi0uzszPAykwqgUAmllILCwAAAA="/>
  </w:docVars>
  <w:rsids>
    <w:rsidRoot w:val="00A26121"/>
    <w:rsid w:val="00005695"/>
    <w:rsid w:val="0011360B"/>
    <w:rsid w:val="0022269A"/>
    <w:rsid w:val="00334453"/>
    <w:rsid w:val="004E29EA"/>
    <w:rsid w:val="00561DBF"/>
    <w:rsid w:val="00736C15"/>
    <w:rsid w:val="0075779D"/>
    <w:rsid w:val="00765DBB"/>
    <w:rsid w:val="00992EDA"/>
    <w:rsid w:val="00A26121"/>
    <w:rsid w:val="00AD6A78"/>
    <w:rsid w:val="00B1635D"/>
    <w:rsid w:val="00BC550D"/>
    <w:rsid w:val="00CB624E"/>
    <w:rsid w:val="00F92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AABE"/>
  <w15:chartTrackingRefBased/>
  <w15:docId w15:val="{ACF1B6C2-7C45-4B60-AB30-E4C2F1DD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61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56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34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wimaa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2020-03-05T10:17:00Z</dcterms:created>
  <dcterms:modified xsi:type="dcterms:W3CDTF">2020-03-05T10:17:00Z</dcterms:modified>
</cp:coreProperties>
</file>