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2DA2E" w14:textId="09244984" w:rsidR="00AE3E37" w:rsidRPr="004B604B" w:rsidRDefault="004B604B" w:rsidP="004B604B">
      <w:pPr>
        <w:pStyle w:val="Heading1"/>
        <w:spacing w:before="170"/>
        <w:rPr>
          <w:color w:val="337AB7"/>
        </w:rPr>
      </w:pPr>
      <w:r w:rsidRPr="004B604B">
        <w:rPr>
          <w:color w:val="337AB7"/>
        </w:rPr>
        <w:t>Computational approaches for characterizing the tumor immune</w:t>
      </w:r>
      <w:r>
        <w:rPr>
          <w:color w:val="337AB7"/>
        </w:rPr>
        <w:t xml:space="preserve"> </w:t>
      </w:r>
      <w:r w:rsidRPr="004B604B">
        <w:rPr>
          <w:color w:val="337AB7"/>
        </w:rPr>
        <w:t>microenvironment</w:t>
      </w:r>
    </w:p>
    <w:p w14:paraId="275F769B" w14:textId="339D8039" w:rsidR="004B604B" w:rsidRPr="004B604B" w:rsidRDefault="004B604B" w:rsidP="004B604B">
      <w:pPr>
        <w:pStyle w:val="BodyText"/>
        <w:rPr>
          <w:rFonts w:ascii="Arial"/>
        </w:rPr>
      </w:pPr>
      <w:r w:rsidRPr="004B604B">
        <w:rPr>
          <w:rFonts w:ascii="Arial"/>
        </w:rPr>
        <w:t xml:space="preserve">Fatemeh Babaie, Cellular and Molecular Biology Student, Biology Group, Basic Science Department, Faculty of Cellular and </w:t>
      </w:r>
      <w:r>
        <w:rPr>
          <w:rFonts w:ascii="Arial"/>
        </w:rPr>
        <w:t xml:space="preserve">     </w:t>
      </w:r>
      <w:r w:rsidRPr="004B604B">
        <w:rPr>
          <w:rFonts w:ascii="Arial"/>
        </w:rPr>
        <w:t>Molecular Biology, Semnan University, Semnan, Iran</w:t>
      </w:r>
    </w:p>
    <w:p w14:paraId="67D3A9C6" w14:textId="77777777" w:rsidR="00AE3E37" w:rsidRDefault="00AE3E37">
      <w:pPr>
        <w:pStyle w:val="BodyText"/>
        <w:rPr>
          <w:rFonts w:ascii="Arial"/>
          <w:sz w:val="20"/>
        </w:rPr>
      </w:pPr>
    </w:p>
    <w:p w14:paraId="3E24F93B" w14:textId="333CB9E5" w:rsidR="00AE3E37" w:rsidRDefault="00B47E10">
      <w:pPr>
        <w:pStyle w:val="BodyText"/>
        <w:spacing w:before="3"/>
        <w:rPr>
          <w:rFonts w:ascii="Arial"/>
          <w:sz w:val="21"/>
        </w:rPr>
      </w:pPr>
      <w:r>
        <w:rPr>
          <w:noProof/>
          <w:lang w:val="en-IN" w:eastAsia="en-IN"/>
        </w:rPr>
        <w:drawing>
          <wp:anchor distT="0" distB="0" distL="0" distR="0" simplePos="0" relativeHeight="251657216" behindDoc="0" locked="0" layoutInCell="1" allowOverlap="1" wp14:anchorId="137905C9" wp14:editId="5061C6F2">
            <wp:simplePos x="0" y="0"/>
            <wp:positionH relativeFrom="page">
              <wp:posOffset>4191000</wp:posOffset>
            </wp:positionH>
            <wp:positionV relativeFrom="paragraph">
              <wp:posOffset>375285</wp:posOffset>
            </wp:positionV>
            <wp:extent cx="2632075" cy="257175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a:extLst>
                        <a:ext uri="{28A0092B-C50C-407E-A947-70E740481C1C}">
                          <a14:useLocalDpi xmlns:a14="http://schemas.microsoft.com/office/drawing/2010/main" val="0"/>
                        </a:ext>
                      </a:extLst>
                    </a:blip>
                    <a:stretch>
                      <a:fillRect/>
                    </a:stretch>
                  </pic:blipFill>
                  <pic:spPr>
                    <a:xfrm>
                      <a:off x="0" y="0"/>
                      <a:ext cx="2632075" cy="2571750"/>
                    </a:xfrm>
                    <a:prstGeom prst="rect">
                      <a:avLst/>
                    </a:prstGeom>
                  </pic:spPr>
                </pic:pic>
              </a:graphicData>
            </a:graphic>
            <wp14:sizeRelH relativeFrom="margin">
              <wp14:pctWidth>0</wp14:pctWidth>
            </wp14:sizeRelH>
            <wp14:sizeRelV relativeFrom="margin">
              <wp14:pctHeight>0</wp14:pctHeight>
            </wp14:sizeRelV>
          </wp:anchor>
        </w:drawing>
      </w:r>
    </w:p>
    <w:p w14:paraId="2B7A204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7352774" w14:textId="106B61FC" w:rsidR="00AE3E37" w:rsidRDefault="00A9710C" w:rsidP="004B604B">
      <w:pPr>
        <w:pStyle w:val="Heading3"/>
        <w:spacing w:before="147"/>
        <w:jc w:val="both"/>
      </w:pPr>
      <w:r>
        <w:rPr>
          <w:color w:val="BF5A14"/>
        </w:rPr>
        <w:t>Abstract</w:t>
      </w:r>
      <w:r w:rsidR="00404E5B">
        <w:rPr>
          <w:color w:val="BF5A14"/>
        </w:rPr>
        <w:t xml:space="preserve"> </w:t>
      </w:r>
    </w:p>
    <w:p w14:paraId="694F9ABE" w14:textId="3636C94F" w:rsidR="00AE3E37" w:rsidRPr="004B604B" w:rsidRDefault="004B604B" w:rsidP="004B604B">
      <w:pPr>
        <w:pStyle w:val="Heading3"/>
        <w:spacing w:before="74"/>
        <w:jc w:val="both"/>
        <w:rPr>
          <w:rFonts w:ascii="Tw Cen MT" w:hAnsi="Tw Cen MT"/>
          <w:sz w:val="18"/>
          <w:szCs w:val="18"/>
        </w:rPr>
      </w:pPr>
      <w:r w:rsidRPr="004B604B">
        <w:rPr>
          <w:rFonts w:ascii="Tw Cen MT" w:hAnsi="Tw Cen MT"/>
          <w:b w:val="0"/>
          <w:bCs w:val="0"/>
          <w:sz w:val="18"/>
          <w:szCs w:val="18"/>
        </w:rPr>
        <w:t>Recent advances in high-throughput molecular profiling technologies and</w:t>
      </w:r>
      <w:r w:rsidRPr="004B604B">
        <w:rPr>
          <w:rFonts w:ascii="Tw Cen MT" w:hAnsi="Tw Cen MT"/>
          <w:b w:val="0"/>
          <w:bCs w:val="0"/>
          <w:sz w:val="18"/>
          <w:szCs w:val="18"/>
        </w:rPr>
        <w:t xml:space="preserve"> </w:t>
      </w:r>
      <w:r w:rsidRPr="004B604B">
        <w:rPr>
          <w:rFonts w:ascii="Tw Cen MT" w:hAnsi="Tw Cen MT"/>
          <w:b w:val="0"/>
          <w:bCs w:val="0"/>
          <w:sz w:val="18"/>
          <w:szCs w:val="18"/>
        </w:rPr>
        <w:t>multiplexed imaging platforms have revolutionized our ability to characterize</w:t>
      </w:r>
      <w:r w:rsidRPr="004B604B">
        <w:rPr>
          <w:rFonts w:ascii="Tw Cen MT" w:hAnsi="Tw Cen MT"/>
          <w:b w:val="0"/>
          <w:bCs w:val="0"/>
          <w:sz w:val="18"/>
          <w:szCs w:val="18"/>
        </w:rPr>
        <w:t xml:space="preserve"> </w:t>
      </w:r>
      <w:r w:rsidRPr="004B604B">
        <w:rPr>
          <w:rFonts w:ascii="Tw Cen MT" w:hAnsi="Tw Cen MT"/>
          <w:b w:val="0"/>
          <w:bCs w:val="0"/>
          <w:sz w:val="18"/>
          <w:szCs w:val="18"/>
        </w:rPr>
        <w:t>the tumor immune microenvironment. As a result, studies of</w:t>
      </w:r>
      <w:r w:rsidRPr="004B604B">
        <w:rPr>
          <w:rFonts w:ascii="Tw Cen MT" w:hAnsi="Tw Cen MT"/>
          <w:b w:val="0"/>
          <w:bCs w:val="0"/>
          <w:sz w:val="18"/>
          <w:szCs w:val="18"/>
        </w:rPr>
        <w:t xml:space="preserve"> </w:t>
      </w:r>
      <w:r w:rsidRPr="004B604B">
        <w:rPr>
          <w:rFonts w:ascii="Tw Cen MT" w:hAnsi="Tw Cen MT"/>
          <w:b w:val="0"/>
          <w:bCs w:val="0"/>
          <w:sz w:val="18"/>
          <w:szCs w:val="18"/>
        </w:rPr>
        <w:t>tumor-associated immune cells increasingly involve complex data sets that</w:t>
      </w:r>
      <w:r w:rsidRPr="004B604B">
        <w:rPr>
          <w:rFonts w:ascii="Tw Cen MT" w:hAnsi="Tw Cen MT"/>
          <w:b w:val="0"/>
          <w:bCs w:val="0"/>
          <w:sz w:val="18"/>
          <w:szCs w:val="18"/>
        </w:rPr>
        <w:t xml:space="preserve"> </w:t>
      </w:r>
      <w:r w:rsidRPr="004B604B">
        <w:rPr>
          <w:rFonts w:ascii="Tw Cen MT" w:hAnsi="Tw Cen MT"/>
          <w:b w:val="0"/>
          <w:bCs w:val="0"/>
          <w:sz w:val="18"/>
          <w:szCs w:val="18"/>
        </w:rPr>
        <w:t>require sophisticated methods of computational analysis. In this review,</w:t>
      </w:r>
      <w:r w:rsidRPr="004B604B">
        <w:rPr>
          <w:rFonts w:ascii="Tw Cen MT" w:hAnsi="Tw Cen MT"/>
          <w:b w:val="0"/>
          <w:bCs w:val="0"/>
          <w:sz w:val="18"/>
          <w:szCs w:val="18"/>
        </w:rPr>
        <w:t xml:space="preserve"> </w:t>
      </w:r>
      <w:r w:rsidRPr="004B604B">
        <w:rPr>
          <w:rFonts w:ascii="Tw Cen MT" w:hAnsi="Tw Cen MT"/>
          <w:b w:val="0"/>
          <w:bCs w:val="0"/>
          <w:sz w:val="18"/>
          <w:szCs w:val="18"/>
        </w:rPr>
        <w:t>we present an overview of key assays and related bioinformatics tools for</w:t>
      </w:r>
      <w:r w:rsidRPr="004B604B">
        <w:rPr>
          <w:rFonts w:ascii="Tw Cen MT" w:hAnsi="Tw Cen MT"/>
          <w:b w:val="0"/>
          <w:bCs w:val="0"/>
          <w:sz w:val="18"/>
          <w:szCs w:val="18"/>
        </w:rPr>
        <w:t xml:space="preserve"> </w:t>
      </w:r>
      <w:r w:rsidRPr="004B604B">
        <w:rPr>
          <w:rFonts w:ascii="Tw Cen MT" w:hAnsi="Tw Cen MT"/>
          <w:b w:val="0"/>
          <w:bCs w:val="0"/>
          <w:sz w:val="18"/>
          <w:szCs w:val="18"/>
        </w:rPr>
        <w:t>analyzing the tumor-associated immune system in bulk tissues and at the</w:t>
      </w:r>
      <w:r w:rsidRPr="004B604B">
        <w:rPr>
          <w:rFonts w:ascii="Tw Cen MT" w:hAnsi="Tw Cen MT"/>
          <w:b w:val="0"/>
          <w:bCs w:val="0"/>
          <w:sz w:val="18"/>
          <w:szCs w:val="18"/>
        </w:rPr>
        <w:t xml:space="preserve"> </w:t>
      </w:r>
      <w:r w:rsidRPr="004B604B">
        <w:rPr>
          <w:rFonts w:ascii="Tw Cen MT" w:hAnsi="Tw Cen MT"/>
          <w:b w:val="0"/>
          <w:bCs w:val="0"/>
          <w:sz w:val="18"/>
          <w:szCs w:val="18"/>
        </w:rPr>
        <w:t>single-cell level. In parallel, we describe how data science strategies and</w:t>
      </w:r>
      <w:r w:rsidRPr="004B604B">
        <w:rPr>
          <w:rFonts w:ascii="Tw Cen MT" w:hAnsi="Tw Cen MT"/>
          <w:b w:val="0"/>
          <w:bCs w:val="0"/>
          <w:sz w:val="18"/>
          <w:szCs w:val="18"/>
        </w:rPr>
        <w:t xml:space="preserve"> </w:t>
      </w:r>
      <w:r w:rsidRPr="004B604B">
        <w:rPr>
          <w:rFonts w:ascii="Tw Cen MT" w:hAnsi="Tw Cen MT"/>
          <w:b w:val="0"/>
          <w:bCs w:val="0"/>
          <w:sz w:val="18"/>
          <w:szCs w:val="18"/>
        </w:rPr>
        <w:t xml:space="preserve">novel technologies have </w:t>
      </w:r>
      <w:bookmarkStart w:id="0" w:name="_GoBack"/>
      <w:r w:rsidRPr="004B604B">
        <w:rPr>
          <w:rFonts w:ascii="Tw Cen MT" w:hAnsi="Tw Cen MT"/>
          <w:b w:val="0"/>
          <w:bCs w:val="0"/>
          <w:sz w:val="18"/>
          <w:szCs w:val="18"/>
        </w:rPr>
        <w:t xml:space="preserve">advanced </w:t>
      </w:r>
      <w:bookmarkEnd w:id="0"/>
      <w:r w:rsidRPr="004B604B">
        <w:rPr>
          <w:rFonts w:ascii="Tw Cen MT" w:hAnsi="Tw Cen MT"/>
          <w:b w:val="0"/>
          <w:bCs w:val="0"/>
          <w:sz w:val="18"/>
          <w:szCs w:val="18"/>
        </w:rPr>
        <w:t>tumor immunology and opened the</w:t>
      </w:r>
      <w:r w:rsidRPr="004B604B">
        <w:rPr>
          <w:rFonts w:ascii="Tw Cen MT" w:hAnsi="Tw Cen MT"/>
          <w:b w:val="0"/>
          <w:bCs w:val="0"/>
          <w:sz w:val="18"/>
          <w:szCs w:val="18"/>
        </w:rPr>
        <w:t xml:space="preserve"> </w:t>
      </w:r>
      <w:r w:rsidRPr="004B604B">
        <w:rPr>
          <w:rFonts w:ascii="Tw Cen MT" w:hAnsi="Tw Cen MT"/>
          <w:b w:val="0"/>
          <w:bCs w:val="0"/>
          <w:sz w:val="18"/>
          <w:szCs w:val="18"/>
        </w:rPr>
        <w:t>door for new opportunities to exploit host immunity to improve cancer</w:t>
      </w:r>
      <w:r w:rsidRPr="004B604B">
        <w:rPr>
          <w:rFonts w:ascii="Tw Cen MT" w:hAnsi="Tw Cen MT"/>
          <w:b w:val="0"/>
          <w:bCs w:val="0"/>
          <w:sz w:val="18"/>
          <w:szCs w:val="18"/>
        </w:rPr>
        <w:t xml:space="preserve"> </w:t>
      </w:r>
      <w:r w:rsidRPr="004B604B">
        <w:rPr>
          <w:rFonts w:ascii="Tw Cen MT" w:eastAsia="Tw Cen MT" w:hAnsi="Tw Cen MT" w:cs="Tw Cen MT"/>
          <w:b w:val="0"/>
          <w:bCs w:val="0"/>
          <w:sz w:val="18"/>
          <w:szCs w:val="18"/>
        </w:rPr>
        <w:t>clinical outcomes.</w:t>
      </w:r>
      <w:r w:rsidR="00A9710C">
        <w:rPr>
          <w:b w:val="0"/>
        </w:rPr>
        <w:br w:type="column"/>
      </w:r>
      <w:r w:rsidR="00A9710C">
        <w:rPr>
          <w:color w:val="BF5A14"/>
        </w:rPr>
        <w:t>Image</w:t>
      </w:r>
    </w:p>
    <w:p w14:paraId="2DF06A54" w14:textId="5F7554A2" w:rsidR="00AE3E37" w:rsidRDefault="00AE3E37">
      <w:pPr>
        <w:pStyle w:val="BodyText"/>
        <w:spacing w:before="2"/>
        <w:rPr>
          <w:rFonts w:ascii="Arial"/>
          <w:b/>
          <w:sz w:val="16"/>
        </w:rPr>
      </w:pPr>
    </w:p>
    <w:p w14:paraId="7B2BE34A" w14:textId="3A2DD992" w:rsidR="005973B9" w:rsidRDefault="005973B9" w:rsidP="005973B9">
      <w:pPr>
        <w:spacing w:line="204" w:lineRule="exact"/>
        <w:rPr>
          <w:rFonts w:ascii="Arial"/>
          <w:b/>
          <w:sz w:val="20"/>
        </w:rPr>
      </w:pPr>
      <w:r>
        <w:rPr>
          <w:rFonts w:ascii="Arial"/>
          <w:b/>
          <w:color w:val="BF5A14"/>
          <w:sz w:val="20"/>
        </w:rPr>
        <w:br/>
        <w:t xml:space="preserve">Recent Publications </w:t>
      </w:r>
    </w:p>
    <w:p w14:paraId="07722991" w14:textId="2E4BF2B9" w:rsidR="004B604B" w:rsidRPr="004B604B" w:rsidRDefault="004B604B" w:rsidP="004B604B">
      <w:pPr>
        <w:pStyle w:val="ListParagraph"/>
        <w:numPr>
          <w:ilvl w:val="0"/>
          <w:numId w:val="4"/>
        </w:numPr>
        <w:tabs>
          <w:tab w:val="left" w:pos="384"/>
        </w:tabs>
        <w:ind w:right="117"/>
        <w:rPr>
          <w:sz w:val="18"/>
        </w:rPr>
      </w:pPr>
      <w:r w:rsidRPr="004B604B">
        <w:rPr>
          <w:sz w:val="18"/>
        </w:rPr>
        <w:t xml:space="preserve"> Mantovani A, Allavena P, Sica A, Balkwill F. Cancer-related</w:t>
      </w:r>
      <w:r w:rsidRPr="004B604B">
        <w:rPr>
          <w:sz w:val="18"/>
        </w:rPr>
        <w:t xml:space="preserve"> </w:t>
      </w:r>
      <w:r w:rsidRPr="004B604B">
        <w:rPr>
          <w:sz w:val="18"/>
        </w:rPr>
        <w:t>inflammation. Nature</w:t>
      </w:r>
      <w:r w:rsidRPr="004B604B">
        <w:rPr>
          <w:sz w:val="18"/>
        </w:rPr>
        <w:t xml:space="preserve"> </w:t>
      </w:r>
      <w:r w:rsidRPr="004B604B">
        <w:rPr>
          <w:sz w:val="18"/>
        </w:rPr>
        <w:t>2008; 454:436.</w:t>
      </w:r>
    </w:p>
    <w:p w14:paraId="48D8C779" w14:textId="5485DBBE" w:rsidR="004B604B" w:rsidRPr="004B604B" w:rsidRDefault="004B604B" w:rsidP="004B604B">
      <w:pPr>
        <w:pStyle w:val="ListParagraph"/>
        <w:numPr>
          <w:ilvl w:val="0"/>
          <w:numId w:val="4"/>
        </w:numPr>
        <w:tabs>
          <w:tab w:val="left" w:pos="384"/>
        </w:tabs>
        <w:ind w:right="117"/>
        <w:rPr>
          <w:sz w:val="18"/>
        </w:rPr>
      </w:pPr>
      <w:r w:rsidRPr="004B604B">
        <w:rPr>
          <w:sz w:val="18"/>
        </w:rPr>
        <w:t>Hanahan D, Weinberg Robert A. Hallmarks of cancer: the next generation. Cell 2011;144:646–74.</w:t>
      </w:r>
    </w:p>
    <w:p w14:paraId="43947FE1" w14:textId="7BAAF980" w:rsidR="004B604B" w:rsidRPr="004B604B" w:rsidRDefault="004B604B" w:rsidP="004B604B">
      <w:pPr>
        <w:pStyle w:val="ListParagraph"/>
        <w:numPr>
          <w:ilvl w:val="0"/>
          <w:numId w:val="4"/>
        </w:numPr>
        <w:tabs>
          <w:tab w:val="left" w:pos="384"/>
        </w:tabs>
        <w:ind w:right="117"/>
        <w:rPr>
          <w:sz w:val="18"/>
        </w:rPr>
      </w:pPr>
      <w:r w:rsidRPr="004B604B">
        <w:rPr>
          <w:sz w:val="18"/>
        </w:rPr>
        <w:t xml:space="preserve"> Gajewski TF, Schreiber H, Fu Y-X. Innate and adaptive immune cells in the tumor</w:t>
      </w:r>
      <w:r w:rsidRPr="004B604B">
        <w:rPr>
          <w:sz w:val="18"/>
        </w:rPr>
        <w:t xml:space="preserve"> </w:t>
      </w:r>
      <w:r w:rsidRPr="004B604B">
        <w:rPr>
          <w:sz w:val="18"/>
        </w:rPr>
        <w:t>microenvironment. Nat Immunol 2013; 14:1014.</w:t>
      </w:r>
    </w:p>
    <w:p w14:paraId="4DC77C06" w14:textId="317F4C9D" w:rsidR="004B604B" w:rsidRPr="004B604B" w:rsidRDefault="004B604B" w:rsidP="004B604B">
      <w:pPr>
        <w:pStyle w:val="ListParagraph"/>
        <w:numPr>
          <w:ilvl w:val="0"/>
          <w:numId w:val="4"/>
        </w:numPr>
        <w:tabs>
          <w:tab w:val="left" w:pos="384"/>
        </w:tabs>
        <w:ind w:right="117"/>
        <w:rPr>
          <w:sz w:val="18"/>
        </w:rPr>
      </w:pPr>
      <w:r w:rsidRPr="004B604B">
        <w:rPr>
          <w:sz w:val="18"/>
        </w:rPr>
        <w:t xml:space="preserve"> Binnewies M, Roberts EW, Kersten K, Chan V, Fearon DF, Merad M et al. Understanding</w:t>
      </w:r>
      <w:r w:rsidRPr="004B604B">
        <w:rPr>
          <w:sz w:val="18"/>
        </w:rPr>
        <w:t xml:space="preserve"> </w:t>
      </w:r>
      <w:r w:rsidRPr="004B604B">
        <w:rPr>
          <w:sz w:val="18"/>
        </w:rPr>
        <w:t>the tumor immune microenvironment (TIME) for effective therapy. Nat</w:t>
      </w:r>
      <w:r w:rsidRPr="004B604B">
        <w:rPr>
          <w:sz w:val="18"/>
        </w:rPr>
        <w:t xml:space="preserve"> </w:t>
      </w:r>
      <w:r w:rsidRPr="004B604B">
        <w:rPr>
          <w:sz w:val="18"/>
        </w:rPr>
        <w:t>Med 2018; 24:541–50.</w:t>
      </w:r>
    </w:p>
    <w:p w14:paraId="39B2A727" w14:textId="6816D357" w:rsidR="00AE3E37" w:rsidRPr="004B604B" w:rsidRDefault="004B604B" w:rsidP="004B604B">
      <w:pPr>
        <w:pStyle w:val="ListParagraph"/>
        <w:numPr>
          <w:ilvl w:val="0"/>
          <w:numId w:val="4"/>
        </w:numPr>
        <w:tabs>
          <w:tab w:val="left" w:pos="384"/>
        </w:tabs>
        <w:ind w:right="117"/>
        <w:rPr>
          <w:sz w:val="18"/>
        </w:rPr>
      </w:pPr>
      <w:r w:rsidRPr="004B604B">
        <w:rPr>
          <w:sz w:val="18"/>
        </w:rPr>
        <w:t>Noy R, Pollard Jeffrey W. Tumor-associated macrophages: from mechanisms to therapy.</w:t>
      </w:r>
      <w:r w:rsidRPr="004B604B">
        <w:rPr>
          <w:sz w:val="18"/>
        </w:rPr>
        <w:t xml:space="preserve"> </w:t>
      </w:r>
      <w:r w:rsidRPr="004B604B">
        <w:rPr>
          <w:sz w:val="18"/>
        </w:rPr>
        <w:t>Immunity 2014; 41:49–61.</w:t>
      </w:r>
    </w:p>
    <w:p w14:paraId="15C3652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65B3634" w14:textId="77777777" w:rsidR="004B604B" w:rsidRDefault="004B604B">
      <w:pPr>
        <w:pStyle w:val="BodyText"/>
        <w:spacing w:line="40" w:lineRule="exact"/>
        <w:ind w:left="2202"/>
        <w:rPr>
          <w:rFonts w:ascii="Calibri"/>
          <w:sz w:val="4"/>
        </w:rPr>
      </w:pPr>
    </w:p>
    <w:p w14:paraId="6170269C" w14:textId="77777777" w:rsidR="004B604B" w:rsidRDefault="004B604B">
      <w:pPr>
        <w:pStyle w:val="BodyText"/>
        <w:spacing w:line="40" w:lineRule="exact"/>
        <w:ind w:left="2202"/>
        <w:rPr>
          <w:rFonts w:ascii="Calibri"/>
          <w:sz w:val="4"/>
        </w:rPr>
      </w:pPr>
    </w:p>
    <w:p w14:paraId="03EF427E" w14:textId="77777777" w:rsidR="004B604B" w:rsidRDefault="004B604B">
      <w:pPr>
        <w:pStyle w:val="BodyText"/>
        <w:spacing w:line="40" w:lineRule="exact"/>
        <w:ind w:left="2202"/>
        <w:rPr>
          <w:rFonts w:ascii="Calibri"/>
          <w:sz w:val="4"/>
        </w:rPr>
      </w:pPr>
    </w:p>
    <w:p w14:paraId="1D48472D" w14:textId="77777777" w:rsidR="004B604B" w:rsidRDefault="004B604B">
      <w:pPr>
        <w:pStyle w:val="BodyText"/>
        <w:spacing w:line="40" w:lineRule="exact"/>
        <w:ind w:left="2202"/>
        <w:rPr>
          <w:rFonts w:ascii="Calibri"/>
          <w:sz w:val="4"/>
        </w:rPr>
      </w:pPr>
    </w:p>
    <w:p w14:paraId="2918C636" w14:textId="77777777" w:rsidR="004B604B" w:rsidRDefault="004B604B">
      <w:pPr>
        <w:pStyle w:val="BodyText"/>
        <w:spacing w:line="40" w:lineRule="exact"/>
        <w:ind w:left="2202"/>
        <w:rPr>
          <w:rFonts w:ascii="Calibri"/>
          <w:sz w:val="4"/>
        </w:rPr>
      </w:pPr>
    </w:p>
    <w:p w14:paraId="53F3B644" w14:textId="77777777" w:rsidR="004B604B" w:rsidRDefault="004B604B">
      <w:pPr>
        <w:pStyle w:val="BodyText"/>
        <w:spacing w:line="40" w:lineRule="exact"/>
        <w:ind w:left="2202"/>
        <w:rPr>
          <w:rFonts w:ascii="Calibri"/>
          <w:sz w:val="4"/>
        </w:rPr>
      </w:pPr>
    </w:p>
    <w:p w14:paraId="7EB7398C" w14:textId="77777777" w:rsidR="004B604B" w:rsidRDefault="004B604B">
      <w:pPr>
        <w:pStyle w:val="BodyText"/>
        <w:spacing w:line="40" w:lineRule="exact"/>
        <w:ind w:left="2202"/>
        <w:rPr>
          <w:rFonts w:ascii="Calibri"/>
          <w:sz w:val="4"/>
        </w:rPr>
      </w:pPr>
    </w:p>
    <w:p w14:paraId="48640C8C" w14:textId="77777777" w:rsidR="004B604B" w:rsidRDefault="004B604B">
      <w:pPr>
        <w:pStyle w:val="BodyText"/>
        <w:spacing w:line="40" w:lineRule="exact"/>
        <w:ind w:left="2202"/>
        <w:rPr>
          <w:rFonts w:ascii="Calibri"/>
          <w:sz w:val="4"/>
        </w:rPr>
      </w:pPr>
    </w:p>
    <w:p w14:paraId="22B4FBD0" w14:textId="77777777" w:rsidR="004B604B" w:rsidRDefault="004B604B">
      <w:pPr>
        <w:pStyle w:val="BodyText"/>
        <w:spacing w:line="40" w:lineRule="exact"/>
        <w:ind w:left="2202"/>
        <w:rPr>
          <w:rFonts w:ascii="Calibri"/>
          <w:sz w:val="4"/>
        </w:rPr>
      </w:pPr>
    </w:p>
    <w:p w14:paraId="0A5C2388" w14:textId="41422C94"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47B9AB2" wp14:editId="04EA69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FC51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04EDE0FD" w14:textId="0F8EC792" w:rsidR="004B604B" w:rsidRDefault="004B604B" w:rsidP="00404E5B">
      <w:pPr>
        <w:spacing w:before="92"/>
        <w:ind w:right="4234"/>
        <w:rPr>
          <w:noProof/>
          <w:lang w:val="en-IN" w:eastAsia="en-IN"/>
        </w:rPr>
      </w:pPr>
      <w:r>
        <w:rPr>
          <w:noProof/>
          <w:lang w:val="en-IN" w:eastAsia="en-IN"/>
        </w:rPr>
        <w:drawing>
          <wp:anchor distT="0" distB="0" distL="114300" distR="114300" simplePos="0" relativeHeight="251659264" behindDoc="0" locked="0" layoutInCell="1" allowOverlap="1" wp14:anchorId="5EBC3B2C" wp14:editId="0005A7F8">
            <wp:simplePos x="0" y="0"/>
            <wp:positionH relativeFrom="column">
              <wp:posOffset>-3175</wp:posOffset>
            </wp:positionH>
            <wp:positionV relativeFrom="paragraph">
              <wp:posOffset>38100</wp:posOffset>
            </wp:positionV>
            <wp:extent cx="454660" cy="624840"/>
            <wp:effectExtent l="0" t="0" r="254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4660" cy="624840"/>
                    </a:xfrm>
                    <a:prstGeom prst="rect">
                      <a:avLst/>
                    </a:prstGeom>
                    <a:noFill/>
                    <a:ln>
                      <a:noFill/>
                    </a:ln>
                  </pic:spPr>
                </pic:pic>
              </a:graphicData>
            </a:graphic>
          </wp:anchor>
        </w:drawing>
      </w:r>
      <w:r w:rsidR="008756E6">
        <w:rPr>
          <w:noProof/>
        </w:rPr>
        <w:t xml:space="preserve">              </w:t>
      </w:r>
    </w:p>
    <w:p w14:paraId="1B8D20AD" w14:textId="77777777" w:rsidR="004B604B" w:rsidRDefault="004B604B" w:rsidP="00404E5B">
      <w:pPr>
        <w:spacing w:before="92"/>
        <w:ind w:right="4234"/>
        <w:rPr>
          <w:noProof/>
          <w:lang w:val="en-IN" w:eastAsia="en-IN"/>
        </w:rPr>
      </w:pPr>
    </w:p>
    <w:p w14:paraId="6815AD63" w14:textId="77777777" w:rsidR="004B604B" w:rsidRDefault="004B604B" w:rsidP="00404E5B">
      <w:pPr>
        <w:spacing w:before="92"/>
        <w:ind w:right="4234"/>
        <w:rPr>
          <w:noProof/>
          <w:lang w:val="en-IN" w:eastAsia="en-IN"/>
        </w:rPr>
      </w:pPr>
    </w:p>
    <w:p w14:paraId="0BCBC2BF" w14:textId="78EB061B"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207DC9BD" w14:textId="2C7220C2" w:rsidR="004B604B" w:rsidRDefault="004B604B" w:rsidP="004B604B">
      <w:pPr>
        <w:spacing w:before="41" w:line="154" w:lineRule="exact"/>
        <w:ind w:right="231"/>
        <w:jc w:val="both"/>
        <w:rPr>
          <w:rFonts w:asciiTheme="minorBidi" w:hAnsiTheme="minorBidi" w:cstheme="minorBidi"/>
          <w:sz w:val="16"/>
          <w:szCs w:val="16"/>
        </w:rPr>
      </w:pPr>
      <w:r w:rsidRPr="00A736FE">
        <w:rPr>
          <w:rFonts w:asciiTheme="minorBidi" w:hAnsiTheme="minorBidi" w:cstheme="minorBidi"/>
          <w:sz w:val="16"/>
          <w:szCs w:val="16"/>
        </w:rPr>
        <w:t xml:space="preserve">Student of cellular and molecular biology, Medical researcher, International degree in genetic engineering, Participated in the 3rd international neuroinflammation congress and the 3rd international student festival of neuroscience organized by neuroscience department, </w:t>
      </w:r>
      <w:proofErr w:type="spellStart"/>
      <w:r w:rsidRPr="00A736FE">
        <w:rPr>
          <w:rFonts w:asciiTheme="minorBidi" w:hAnsiTheme="minorBidi" w:cstheme="minorBidi"/>
          <w:sz w:val="16"/>
          <w:szCs w:val="16"/>
        </w:rPr>
        <w:t>mashhad</w:t>
      </w:r>
      <w:proofErr w:type="spellEnd"/>
      <w:r w:rsidRPr="00A736FE">
        <w:rPr>
          <w:rFonts w:asciiTheme="minorBidi" w:hAnsiTheme="minorBidi" w:cstheme="minorBidi"/>
          <w:sz w:val="16"/>
          <w:szCs w:val="16"/>
        </w:rPr>
        <w:t xml:space="preserve"> university of medical science,  Participated in the 3rd international biotechnology congress of Islamic republic of Iran, Participated in the 3rd international congress on biomedicine2019, Participated in the 8th International  Conference on Women’s Health, Tehran, Iran</w:t>
      </w:r>
    </w:p>
    <w:p w14:paraId="315F856C" w14:textId="77777777" w:rsidR="004B604B" w:rsidRPr="00A736FE" w:rsidRDefault="004B604B" w:rsidP="004B604B">
      <w:pPr>
        <w:spacing w:before="41" w:line="154" w:lineRule="exact"/>
        <w:ind w:right="231"/>
        <w:jc w:val="both"/>
        <w:rPr>
          <w:rFonts w:asciiTheme="minorBidi" w:hAnsiTheme="minorBidi" w:cstheme="minorBidi"/>
          <w:sz w:val="20"/>
          <w:szCs w:val="20"/>
        </w:rPr>
      </w:pPr>
    </w:p>
    <w:p w14:paraId="086D04A9" w14:textId="4438BEED" w:rsidR="00AE3E37" w:rsidRDefault="00A9710C">
      <w:pPr>
        <w:spacing w:before="62"/>
        <w:ind w:left="4217" w:right="4235"/>
        <w:jc w:val="center"/>
        <w:rPr>
          <w:rFonts w:ascii="Arial"/>
          <w:sz w:val="14"/>
        </w:rPr>
      </w:pPr>
      <w:r>
        <w:rPr>
          <w:rFonts w:ascii="Arial"/>
          <w:sz w:val="14"/>
        </w:rPr>
        <w:t xml:space="preserve">Email: </w:t>
      </w:r>
      <w:hyperlink r:id="rId11" w:history="1">
        <w:r w:rsidR="004B604B">
          <w:rPr>
            <w:rStyle w:val="Hyperlink"/>
            <w:rFonts w:ascii="Arial"/>
            <w:sz w:val="14"/>
          </w:rPr>
          <w:t>mahijk1997@yahoo</w:t>
        </w:r>
        <w:r w:rsidR="008756E6" w:rsidRPr="00616076">
          <w:rPr>
            <w:rStyle w:val="Hyperlink"/>
            <w:rFonts w:ascii="Arial"/>
            <w:sz w:val="14"/>
          </w:rPr>
          <w:t>.com</w:t>
        </w:r>
      </w:hyperlink>
    </w:p>
    <w:p w14:paraId="59588E4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8184694" wp14:editId="56588A0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EFF0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5570D30" w14:textId="77777777" w:rsidR="00AE3E37" w:rsidRDefault="00AE3E37">
      <w:pPr>
        <w:pStyle w:val="BodyText"/>
        <w:rPr>
          <w:rFonts w:ascii="Arial"/>
          <w:sz w:val="20"/>
        </w:rPr>
      </w:pPr>
    </w:p>
    <w:p w14:paraId="67A1CAA5" w14:textId="77777777" w:rsidR="00AE3E37" w:rsidRDefault="00AE3E37">
      <w:pPr>
        <w:pStyle w:val="BodyText"/>
        <w:rPr>
          <w:rFonts w:ascii="Arial"/>
          <w:sz w:val="20"/>
        </w:rPr>
      </w:pPr>
    </w:p>
    <w:p w14:paraId="44E7FE79" w14:textId="77777777" w:rsidR="00AE3E37" w:rsidRDefault="00AE3E37">
      <w:pPr>
        <w:pStyle w:val="BodyText"/>
        <w:spacing w:before="7"/>
        <w:rPr>
          <w:rFonts w:ascii="Arial"/>
          <w:sz w:val="29"/>
        </w:rPr>
      </w:pPr>
    </w:p>
    <w:p w14:paraId="70892A3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925A00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E0C60" w14:textId="77777777" w:rsidR="00CB1E74" w:rsidRDefault="00CB1E74">
      <w:r>
        <w:separator/>
      </w:r>
    </w:p>
  </w:endnote>
  <w:endnote w:type="continuationSeparator" w:id="0">
    <w:p w14:paraId="151D6ECD" w14:textId="77777777" w:rsidR="00CB1E74" w:rsidRDefault="00CB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2B26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7E38EBD0" wp14:editId="68BB93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6BC4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D12B1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38EBD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3E6BC4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D12B1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7F14C3F2" wp14:editId="5AAE0FF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336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8BCE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4C3F2"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54336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8BCE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2A6D2FD" wp14:editId="34F91B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1920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CBF2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6D2FD"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181920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CBF21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907829" w14:textId="77777777" w:rsidR="00CB1E74" w:rsidRDefault="00CB1E74">
      <w:r>
        <w:separator/>
      </w:r>
    </w:p>
  </w:footnote>
  <w:footnote w:type="continuationSeparator" w:id="0">
    <w:p w14:paraId="59D9E1CB" w14:textId="77777777" w:rsidR="00CB1E74" w:rsidRDefault="00CB1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1D72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3A985959" wp14:editId="01A877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F58C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85959"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39F58C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36FBB253" wp14:editId="70F4E66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D57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2ABCF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BB253"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295D57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2ABCF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6986B1D"/>
    <w:multiLevelType w:val="hybridMultilevel"/>
    <w:tmpl w:val="23945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B604B"/>
    <w:rsid w:val="004F3523"/>
    <w:rsid w:val="005973B9"/>
    <w:rsid w:val="005B3A56"/>
    <w:rsid w:val="006060CE"/>
    <w:rsid w:val="0063497F"/>
    <w:rsid w:val="0078738A"/>
    <w:rsid w:val="00873DF0"/>
    <w:rsid w:val="008756E6"/>
    <w:rsid w:val="009B2D44"/>
    <w:rsid w:val="00A07E82"/>
    <w:rsid w:val="00A9710C"/>
    <w:rsid w:val="00AE3E37"/>
    <w:rsid w:val="00B21A57"/>
    <w:rsid w:val="00B47E10"/>
    <w:rsid w:val="00C33602"/>
    <w:rsid w:val="00CB1E74"/>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0CE7C"/>
  <w15:docId w15:val="{D775D286-DF5B-446E-B365-F617FC5B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B6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DehkadeRayanePc</cp:lastModifiedBy>
  <cp:revision>5</cp:revision>
  <dcterms:created xsi:type="dcterms:W3CDTF">2016-08-31T13:10:00Z</dcterms:created>
  <dcterms:modified xsi:type="dcterms:W3CDTF">2019-11-23T16:15:00Z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