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08421C" w14:textId="32B0A79B" w:rsidR="00AE3E37" w:rsidRDefault="00E42365" w:rsidP="00494130">
      <w:pPr>
        <w:pStyle w:val="Titolo1"/>
        <w:spacing w:before="170"/>
        <w:ind w:left="0"/>
      </w:pPr>
      <w:r>
        <w:rPr>
          <w:color w:val="337AB7"/>
        </w:rPr>
        <w:t xml:space="preserve">Molecular dynamics simulations reveal a common conformation in the </w:t>
      </w:r>
      <w:r>
        <w:rPr>
          <w:rFonts w:ascii="Cambria Math" w:hAnsi="Cambria Math"/>
          <w:color w:val="337AB7"/>
        </w:rPr>
        <w:t>β</w:t>
      </w:r>
      <w:r>
        <w:rPr>
          <w:color w:val="337AB7"/>
        </w:rPr>
        <w:t xml:space="preserve"> chain constant region in T cell receptor activation</w:t>
      </w:r>
      <w:r w:rsidR="00A9710C">
        <w:rPr>
          <w:color w:val="337AB7"/>
        </w:rPr>
        <w:t xml:space="preserve"> </w:t>
      </w:r>
    </w:p>
    <w:p w14:paraId="78DCD707" w14:textId="2BEFB040" w:rsidR="0078738A" w:rsidRPr="00E42365" w:rsidRDefault="00E42365" w:rsidP="005973B9">
      <w:pPr>
        <w:pStyle w:val="Corpotesto"/>
        <w:spacing w:before="73" w:line="198" w:lineRule="exact"/>
        <w:ind w:left="100" w:right="5987"/>
        <w:rPr>
          <w:rFonts w:ascii="Arial"/>
          <w:lang w:val="it-IT"/>
        </w:rPr>
      </w:pPr>
      <w:r w:rsidRPr="00E42365">
        <w:rPr>
          <w:rFonts w:ascii="Arial"/>
          <w:lang w:val="it-IT"/>
        </w:rPr>
        <w:t>Josephine Alba</w:t>
      </w:r>
      <w:r w:rsidR="005973B9" w:rsidRPr="00E42365">
        <w:rPr>
          <w:rFonts w:ascii="Arial"/>
          <w:lang w:val="it-IT"/>
        </w:rPr>
        <w:t>,</w:t>
      </w:r>
      <w:r w:rsidRPr="00E42365">
        <w:rPr>
          <w:rFonts w:ascii="Arial"/>
          <w:lang w:val="it-IT"/>
        </w:rPr>
        <w:t xml:space="preserve"> </w:t>
      </w:r>
      <w:r w:rsidR="005973B9" w:rsidRPr="00E42365">
        <w:rPr>
          <w:rFonts w:ascii="Arial"/>
          <w:lang w:val="it-IT"/>
        </w:rPr>
        <w:t>PhD</w:t>
      </w:r>
      <w:r w:rsidRPr="00E42365">
        <w:rPr>
          <w:rFonts w:ascii="Arial"/>
          <w:lang w:val="it-IT"/>
        </w:rPr>
        <w:t xml:space="preserve"> </w:t>
      </w:r>
      <w:proofErr w:type="spellStart"/>
      <w:r w:rsidRPr="00E42365">
        <w:rPr>
          <w:rFonts w:ascii="Arial"/>
          <w:lang w:val="it-IT"/>
        </w:rPr>
        <w:t>Stu</w:t>
      </w:r>
      <w:bookmarkStart w:id="0" w:name="_GoBack"/>
      <w:bookmarkEnd w:id="0"/>
      <w:r w:rsidRPr="00E42365">
        <w:rPr>
          <w:rFonts w:ascii="Arial"/>
          <w:lang w:val="it-IT"/>
        </w:rPr>
        <w:t>dent</w:t>
      </w:r>
      <w:proofErr w:type="spellEnd"/>
      <w:r w:rsidR="005973B9" w:rsidRPr="00E42365">
        <w:rPr>
          <w:rFonts w:ascii="Arial"/>
          <w:lang w:val="it-IT"/>
        </w:rPr>
        <w:t xml:space="preserve">, </w:t>
      </w:r>
      <w:r w:rsidRPr="00E42365">
        <w:rPr>
          <w:rFonts w:ascii="Arial"/>
          <w:lang w:val="it-IT"/>
        </w:rPr>
        <w:t xml:space="preserve">University of Rome </w:t>
      </w:r>
      <w:r w:rsidRPr="00E42365">
        <w:rPr>
          <w:rFonts w:ascii="Arial"/>
          <w:lang w:val="it-IT"/>
        </w:rPr>
        <w:t>“</w:t>
      </w:r>
      <w:r w:rsidRPr="00E42365">
        <w:rPr>
          <w:rFonts w:ascii="Arial"/>
          <w:lang w:val="it-IT"/>
        </w:rPr>
        <w:t>Sapienza</w:t>
      </w:r>
      <w:r w:rsidRPr="00E42365">
        <w:rPr>
          <w:rFonts w:ascii="Arial"/>
          <w:lang w:val="it-IT"/>
        </w:rPr>
        <w:t>”</w:t>
      </w:r>
      <w:r w:rsidRPr="00E42365">
        <w:rPr>
          <w:rFonts w:ascii="Arial"/>
          <w:lang w:val="it-IT"/>
        </w:rPr>
        <w:t xml:space="preserve">, </w:t>
      </w:r>
      <w:proofErr w:type="spellStart"/>
      <w:r w:rsidRPr="00E42365">
        <w:rPr>
          <w:rFonts w:ascii="Arial"/>
          <w:lang w:val="it-IT"/>
        </w:rPr>
        <w:t>Italy</w:t>
      </w:r>
      <w:proofErr w:type="spellEnd"/>
      <w:r w:rsidR="005973B9" w:rsidRPr="00E42365">
        <w:rPr>
          <w:rFonts w:ascii="Arial"/>
          <w:lang w:val="it-IT"/>
        </w:rPr>
        <w:t xml:space="preserve"> </w:t>
      </w:r>
    </w:p>
    <w:p w14:paraId="64473437" w14:textId="77777777" w:rsidR="00E42365" w:rsidRPr="00E42365" w:rsidRDefault="0078738A" w:rsidP="00E42365">
      <w:pPr>
        <w:pStyle w:val="Corpotesto"/>
        <w:spacing w:before="73" w:line="198" w:lineRule="exact"/>
        <w:ind w:left="100" w:right="5987"/>
        <w:rPr>
          <w:rFonts w:ascii="Arial"/>
          <w:lang w:val="it-IT"/>
        </w:rPr>
      </w:pPr>
      <w:r w:rsidRPr="00E42365">
        <w:rPr>
          <w:rFonts w:ascii="Arial"/>
          <w:lang w:val="it-IT"/>
        </w:rPr>
        <w:t xml:space="preserve">Dr </w:t>
      </w:r>
      <w:r w:rsidR="00E42365" w:rsidRPr="00E42365">
        <w:rPr>
          <w:rFonts w:ascii="Arial"/>
          <w:lang w:val="it-IT"/>
        </w:rPr>
        <w:t>Marco D</w:t>
      </w:r>
      <w:r w:rsidR="00E42365" w:rsidRPr="00E42365">
        <w:rPr>
          <w:rFonts w:ascii="Arial"/>
          <w:lang w:val="it-IT"/>
        </w:rPr>
        <w:t>’</w:t>
      </w:r>
      <w:r w:rsidR="00E42365" w:rsidRPr="00E42365">
        <w:rPr>
          <w:rFonts w:ascii="Arial"/>
          <w:lang w:val="it-IT"/>
        </w:rPr>
        <w:t>Abramo</w:t>
      </w:r>
      <w:r w:rsidR="005973B9" w:rsidRPr="00E42365">
        <w:rPr>
          <w:rFonts w:ascii="Arial"/>
          <w:lang w:val="it-IT"/>
        </w:rPr>
        <w:t xml:space="preserve">, </w:t>
      </w:r>
      <w:r w:rsidR="00E42365" w:rsidRPr="00E42365">
        <w:rPr>
          <w:rFonts w:ascii="Arial"/>
          <w:lang w:val="it-IT"/>
        </w:rPr>
        <w:t>Associate Professor</w:t>
      </w:r>
      <w:r w:rsidR="005973B9" w:rsidRPr="00E42365">
        <w:rPr>
          <w:rFonts w:ascii="Arial"/>
          <w:lang w:val="it-IT"/>
        </w:rPr>
        <w:t xml:space="preserve">, </w:t>
      </w:r>
      <w:r w:rsidR="00E42365" w:rsidRPr="00E42365">
        <w:rPr>
          <w:rFonts w:ascii="Arial"/>
          <w:lang w:val="it-IT"/>
        </w:rPr>
        <w:t xml:space="preserve">University of Rome </w:t>
      </w:r>
      <w:r w:rsidR="00E42365" w:rsidRPr="00E42365">
        <w:rPr>
          <w:rFonts w:ascii="Arial"/>
          <w:lang w:val="it-IT"/>
        </w:rPr>
        <w:t>“</w:t>
      </w:r>
      <w:r w:rsidR="00E42365" w:rsidRPr="00E42365">
        <w:rPr>
          <w:rFonts w:ascii="Arial"/>
          <w:lang w:val="it-IT"/>
        </w:rPr>
        <w:t>Sapienza</w:t>
      </w:r>
      <w:r w:rsidR="00E42365" w:rsidRPr="00E42365">
        <w:rPr>
          <w:rFonts w:ascii="Arial"/>
          <w:lang w:val="it-IT"/>
        </w:rPr>
        <w:t>”</w:t>
      </w:r>
      <w:r w:rsidR="00E42365" w:rsidRPr="00E42365">
        <w:rPr>
          <w:rFonts w:ascii="Arial"/>
          <w:lang w:val="it-IT"/>
        </w:rPr>
        <w:t xml:space="preserve">, </w:t>
      </w:r>
      <w:proofErr w:type="spellStart"/>
      <w:r w:rsidR="00E42365" w:rsidRPr="00E42365">
        <w:rPr>
          <w:rFonts w:ascii="Arial"/>
          <w:lang w:val="it-IT"/>
        </w:rPr>
        <w:t>Italy</w:t>
      </w:r>
      <w:proofErr w:type="spellEnd"/>
      <w:r w:rsidR="00E42365" w:rsidRPr="00E42365">
        <w:rPr>
          <w:rFonts w:ascii="Arial"/>
          <w:lang w:val="it-IT"/>
        </w:rPr>
        <w:t xml:space="preserve"> </w:t>
      </w:r>
    </w:p>
    <w:p w14:paraId="5D9622DB" w14:textId="551F7022" w:rsidR="00AE3E37" w:rsidRPr="00E42365" w:rsidRDefault="00AE3E37" w:rsidP="00E42365">
      <w:pPr>
        <w:pStyle w:val="Corpotesto"/>
        <w:spacing w:before="73" w:line="198" w:lineRule="exact"/>
        <w:ind w:left="100" w:right="5987"/>
        <w:rPr>
          <w:rFonts w:ascii="Arial"/>
          <w:sz w:val="20"/>
          <w:lang w:val="it-IT"/>
        </w:rPr>
      </w:pPr>
    </w:p>
    <w:p w14:paraId="63C42265" w14:textId="49D77822" w:rsidR="00AE3E37" w:rsidRPr="00E42365" w:rsidRDefault="00AE3E37">
      <w:pPr>
        <w:pStyle w:val="Corpotesto"/>
        <w:spacing w:before="3"/>
        <w:rPr>
          <w:rFonts w:ascii="Arial"/>
          <w:sz w:val="21"/>
          <w:lang w:val="it-IT"/>
        </w:rPr>
      </w:pPr>
    </w:p>
    <w:p w14:paraId="766859AD" w14:textId="77777777" w:rsidR="00AE3E37" w:rsidRPr="00E42365" w:rsidRDefault="00AE3E37">
      <w:pPr>
        <w:rPr>
          <w:rFonts w:ascii="Arial"/>
          <w:sz w:val="21"/>
          <w:lang w:val="it-IT"/>
        </w:rPr>
        <w:sectPr w:rsidR="00AE3E37" w:rsidRPr="00E42365">
          <w:headerReference w:type="default" r:id="rId7"/>
          <w:footerReference w:type="default" r:id="rId8"/>
          <w:type w:val="continuous"/>
          <w:pgSz w:w="11910" w:h="16840"/>
          <w:pgMar w:top="1740" w:right="600" w:bottom="840" w:left="620" w:header="541" w:footer="642" w:gutter="0"/>
          <w:cols w:space="720"/>
        </w:sectPr>
      </w:pPr>
    </w:p>
    <w:p w14:paraId="1C452BA6" w14:textId="119834EF" w:rsidR="00AE3E37" w:rsidRDefault="00A9710C">
      <w:pPr>
        <w:pStyle w:val="Titolo3"/>
        <w:spacing w:before="147"/>
        <w:jc w:val="both"/>
      </w:pPr>
      <w:r>
        <w:rPr>
          <w:color w:val="BF5A14"/>
        </w:rPr>
        <w:t>Abstract</w:t>
      </w:r>
      <w:r w:rsidR="00404E5B">
        <w:rPr>
          <w:color w:val="BF5A14"/>
        </w:rPr>
        <w:t xml:space="preserve"> </w:t>
      </w:r>
    </w:p>
    <w:p w14:paraId="24A84511" w14:textId="1BA3BB58" w:rsidR="00AE3E37" w:rsidRDefault="00E42365">
      <w:pPr>
        <w:pStyle w:val="Corpotesto"/>
        <w:spacing w:before="90" w:line="280" w:lineRule="auto"/>
        <w:ind w:left="100"/>
        <w:jc w:val="both"/>
      </w:pPr>
      <w:r w:rsidRPr="00E42365">
        <w:t xml:space="preserve">The adaptive immune response is one of the most important systems of defense against pathogens. In this contest, the ability of the CD8+ cytotoxic T lymphocytes (CTLs) to recognize a wide number of foreign antigens represents a strong defense against diseases. The T cells response is regulated by T cell receptor (TCR) activation, which may occur following the epitope recognition (p), mediated by the major histocompatibility complex (MHC). Experimental studies have suggested that conformational changes involving the constant region of the TCR </w:t>
      </w:r>
      <w:r w:rsidRPr="00E42365">
        <w:rPr>
          <w:rFonts w:ascii="Calibri" w:hAnsi="Calibri" w:cs="Calibri"/>
        </w:rPr>
        <w:t>α</w:t>
      </w:r>
      <w:r w:rsidRPr="00E42365">
        <w:t xml:space="preserve"> chain and of the CD3 complex, are responsible for the TCR transduction signal across the plasma membrane, i.e. triggering. These conformational changes allow the phosphorylation of the CD3 complex </w:t>
      </w:r>
      <w:r w:rsidRPr="00E42365">
        <w:rPr>
          <w:rFonts w:ascii="Calibri" w:hAnsi="Calibri" w:cs="Calibri"/>
        </w:rPr>
        <w:t>ζ</w:t>
      </w:r>
      <w:r w:rsidRPr="00E42365">
        <w:t xml:space="preserve"> chain and the propagation of the signal downstream. By means of Molecular Dynamic simulations (MDs) we </w:t>
      </w:r>
      <w:r w:rsidR="009A39DD" w:rsidRPr="00E42365">
        <w:t>analyzed</w:t>
      </w:r>
      <w:r w:rsidRPr="00E42365">
        <w:t xml:space="preserve"> the conformational </w:t>
      </w:r>
      <w:r w:rsidR="009A39DD" w:rsidRPr="00E42365">
        <w:t>behavior</w:t>
      </w:r>
      <w:r w:rsidRPr="00E42365">
        <w:t xml:space="preserve"> of two TCRs (1G4 and ILA</w:t>
      </w:r>
      <w:r w:rsidRPr="00E42365">
        <w:rPr>
          <w:rFonts w:ascii="Calibri" w:hAnsi="Calibri" w:cs="Calibri"/>
        </w:rPr>
        <w:t>α</w:t>
      </w:r>
      <w:r w:rsidRPr="00E42365">
        <w:t>1</w:t>
      </w:r>
      <w:r w:rsidRPr="00E42365">
        <w:rPr>
          <w:rFonts w:ascii="Calibri" w:hAnsi="Calibri" w:cs="Calibri"/>
        </w:rPr>
        <w:t>β</w:t>
      </w:r>
      <w:r w:rsidRPr="00E42365">
        <w:t xml:space="preserve">1) interacting with the same MHC of class I (HLA-A2*01), in a lipid environment. When compared to experimental </w:t>
      </w:r>
      <w:r w:rsidR="009A39DD">
        <w:t>results</w:t>
      </w:r>
      <w:r w:rsidRPr="00E42365">
        <w:t xml:space="preserve">, our </w:t>
      </w:r>
      <w:r w:rsidR="009A39DD">
        <w:t>data</w:t>
      </w:r>
      <w:r w:rsidRPr="00E42365">
        <w:t xml:space="preserve"> suggests a correlation between the conformations explored by the </w:t>
      </w:r>
      <w:r w:rsidRPr="00E42365">
        <w:rPr>
          <w:rFonts w:ascii="Calibri" w:hAnsi="Calibri" w:cs="Calibri"/>
        </w:rPr>
        <w:t>β</w:t>
      </w:r>
      <w:r w:rsidRPr="00E42365">
        <w:t xml:space="preserve">-chain constant region and T cell activity. </w:t>
      </w:r>
      <w:proofErr w:type="gramStart"/>
      <w:r w:rsidRPr="00E42365">
        <w:t>In particular, independently</w:t>
      </w:r>
      <w:proofErr w:type="gramEnd"/>
      <w:r w:rsidRPr="00E42365">
        <w:t xml:space="preserve"> by the TCR type involved in the interaction, the TCR activation seems to be linked to a specific conformation affecting the </w:t>
      </w:r>
      <w:r w:rsidRPr="00E42365">
        <w:rPr>
          <w:rFonts w:ascii="Calibri" w:hAnsi="Calibri" w:cs="Calibri"/>
        </w:rPr>
        <w:t>β</w:t>
      </w:r>
      <w:r w:rsidRPr="00E42365">
        <w:t>-chain constant region. Moreover, combining experimental and theoretical studies, we recently noted that the bound peptide can affect the conformation of the MHC of class I binding groove, suggesting a different presentation of the antigens possibly related to different CTLs responses. From Molecular Dynamics simulations of the</w:t>
      </w:r>
      <w:r>
        <w:t xml:space="preserve"> </w:t>
      </w:r>
      <w:r w:rsidRPr="00E42365">
        <w:t xml:space="preserve">whole </w:t>
      </w:r>
      <w:proofErr w:type="spellStart"/>
      <w:r w:rsidRPr="00E42365">
        <w:t>pMHC</w:t>
      </w:r>
      <w:proofErr w:type="spellEnd"/>
      <w:r w:rsidRPr="00E42365">
        <w:t xml:space="preserve">/TCR complex we found that the interaction </w:t>
      </w:r>
      <w:proofErr w:type="spellStart"/>
      <w:r w:rsidRPr="00E42365">
        <w:t>pMHC</w:t>
      </w:r>
      <w:proofErr w:type="spellEnd"/>
      <w:r w:rsidRPr="00E42365">
        <w:t>/TCR constraints the MHC binding groove in a more rigid conformation, contrary to our recent prediction where the MHC of class I (HLA -B27*) has been simulated alone</w:t>
      </w:r>
      <w:r w:rsidR="00A9710C">
        <w:t>.</w:t>
      </w:r>
    </w:p>
    <w:p w14:paraId="666E54C5" w14:textId="77777777" w:rsidR="00AE3E37" w:rsidRDefault="00A9710C">
      <w:pPr>
        <w:pStyle w:val="Titolo3"/>
        <w:spacing w:before="74"/>
      </w:pPr>
      <w:r>
        <w:rPr>
          <w:b w:val="0"/>
        </w:rPr>
        <w:br w:type="column"/>
      </w:r>
      <w:r>
        <w:rPr>
          <w:color w:val="BF5A14"/>
        </w:rPr>
        <w:t>Image</w:t>
      </w:r>
    </w:p>
    <w:p w14:paraId="31B7013A" w14:textId="6A289042" w:rsidR="00AE3E37" w:rsidRDefault="00D4474E">
      <w:pPr>
        <w:pStyle w:val="Corpotesto"/>
        <w:spacing w:before="2"/>
        <w:rPr>
          <w:rFonts w:ascii="Arial"/>
          <w:b/>
          <w:sz w:val="16"/>
        </w:rPr>
      </w:pPr>
      <w:r>
        <w:rPr>
          <w:noProof/>
          <w:lang w:val="en-IN" w:eastAsia="en-IN"/>
        </w:rPr>
        <w:drawing>
          <wp:anchor distT="0" distB="0" distL="0" distR="0" simplePos="0" relativeHeight="251658240" behindDoc="0" locked="0" layoutInCell="1" allowOverlap="1" wp14:anchorId="59912A86" wp14:editId="1185BB7E">
            <wp:simplePos x="0" y="0"/>
            <wp:positionH relativeFrom="page">
              <wp:posOffset>4057650</wp:posOffset>
            </wp:positionH>
            <wp:positionV relativeFrom="paragraph">
              <wp:posOffset>144780</wp:posOffset>
            </wp:positionV>
            <wp:extent cx="2924810" cy="1715135"/>
            <wp:effectExtent l="0" t="0" r="889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9" cstate="print">
                      <a:extLst>
                        <a:ext uri="{28A0092B-C50C-407E-A947-70E740481C1C}">
                          <a14:useLocalDpi xmlns:a14="http://schemas.microsoft.com/office/drawing/2010/main" val="0"/>
                        </a:ext>
                      </a:extLst>
                    </a:blip>
                    <a:srcRect r="2920" b="7692"/>
                    <a:stretch/>
                  </pic:blipFill>
                  <pic:spPr bwMode="auto">
                    <a:xfrm>
                      <a:off x="0" y="0"/>
                      <a:ext cx="2924810" cy="1715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B6EAFB" w14:textId="7F93DBC6" w:rsidR="005973B9" w:rsidRDefault="005973B9" w:rsidP="005973B9">
      <w:pPr>
        <w:spacing w:line="204" w:lineRule="exact"/>
        <w:rPr>
          <w:rFonts w:ascii="Arial"/>
          <w:b/>
          <w:sz w:val="20"/>
        </w:rPr>
      </w:pPr>
      <w:r>
        <w:rPr>
          <w:rFonts w:ascii="Arial"/>
          <w:b/>
          <w:color w:val="BF5A14"/>
          <w:sz w:val="20"/>
        </w:rPr>
        <w:br/>
        <w:t>Recent Publications</w:t>
      </w:r>
    </w:p>
    <w:p w14:paraId="045580F2" w14:textId="77777777" w:rsidR="00E42365" w:rsidRPr="00E42365" w:rsidRDefault="00E42365" w:rsidP="00E42365">
      <w:pPr>
        <w:pStyle w:val="Paragrafoelenco"/>
        <w:numPr>
          <w:ilvl w:val="0"/>
          <w:numId w:val="3"/>
        </w:numPr>
        <w:rPr>
          <w:sz w:val="18"/>
        </w:rPr>
      </w:pPr>
      <w:r w:rsidRPr="00E42365">
        <w:rPr>
          <w:sz w:val="18"/>
          <w:lang w:val="it-IT"/>
        </w:rPr>
        <w:t xml:space="preserve">Tedeschi V. and Alba J. et al. </w:t>
      </w:r>
      <w:r w:rsidRPr="00E42365">
        <w:rPr>
          <w:sz w:val="18"/>
        </w:rPr>
        <w:t>(2019) Unusual Placement of an EBV Epitope into the Groove of the Ankylosing Spondylitis-Associated HLA-B27 Allele Allows CD8+ T Cell Activation. Cells 8(6): 572.</w:t>
      </w:r>
    </w:p>
    <w:p w14:paraId="1BA60AB5" w14:textId="77777777" w:rsidR="00E42365" w:rsidRPr="00E42365" w:rsidRDefault="00E42365" w:rsidP="00E42365">
      <w:pPr>
        <w:pStyle w:val="Paragrafoelenco"/>
        <w:numPr>
          <w:ilvl w:val="0"/>
          <w:numId w:val="3"/>
        </w:numPr>
        <w:rPr>
          <w:sz w:val="18"/>
        </w:rPr>
      </w:pPr>
      <w:r w:rsidRPr="00E42365">
        <w:rPr>
          <w:sz w:val="18"/>
        </w:rPr>
        <w:t xml:space="preserve">Alba J. et al. (2019) On the activation and deactivation pathways of the Lck kinase domain: a computational </w:t>
      </w:r>
      <w:proofErr w:type="spellStart"/>
      <w:proofErr w:type="gramStart"/>
      <w:r w:rsidRPr="00E42365">
        <w:rPr>
          <w:sz w:val="18"/>
        </w:rPr>
        <w:t>study.J</w:t>
      </w:r>
      <w:proofErr w:type="spellEnd"/>
      <w:proofErr w:type="gramEnd"/>
      <w:r w:rsidRPr="00E42365">
        <w:rPr>
          <w:sz w:val="18"/>
        </w:rPr>
        <w:t xml:space="preserve"> </w:t>
      </w:r>
      <w:proofErr w:type="spellStart"/>
      <w:r w:rsidRPr="00E42365">
        <w:rPr>
          <w:sz w:val="18"/>
        </w:rPr>
        <w:t>Comput</w:t>
      </w:r>
      <w:proofErr w:type="spellEnd"/>
      <w:r w:rsidRPr="00E42365">
        <w:rPr>
          <w:sz w:val="18"/>
        </w:rPr>
        <w:t xml:space="preserve"> Aided Mol Des. 33(6):597-603.</w:t>
      </w:r>
    </w:p>
    <w:p w14:paraId="1B640A50" w14:textId="77777777" w:rsidR="00E42365" w:rsidRPr="00E42365" w:rsidRDefault="00E42365" w:rsidP="00E42365">
      <w:pPr>
        <w:pStyle w:val="Paragrafoelenco"/>
        <w:numPr>
          <w:ilvl w:val="0"/>
          <w:numId w:val="3"/>
        </w:numPr>
        <w:rPr>
          <w:sz w:val="18"/>
        </w:rPr>
      </w:pPr>
      <w:r w:rsidRPr="00E42365">
        <w:rPr>
          <w:sz w:val="18"/>
          <w:lang w:val="it-IT"/>
        </w:rPr>
        <w:t xml:space="preserve">Tasca E. and Alba J. et al. </w:t>
      </w:r>
      <w:r w:rsidRPr="00E42365">
        <w:rPr>
          <w:sz w:val="18"/>
        </w:rPr>
        <w:t>(2019) The self-association equilibria of doxorubicin at high concentration and ionic strength characterized by fluorescence spectroscopy and molecular dynamics simulations. Colloids Surf. A. 577:517-522</w:t>
      </w:r>
    </w:p>
    <w:p w14:paraId="7EBE7ADF" w14:textId="7DF26065" w:rsidR="005973B9" w:rsidRDefault="00E42365" w:rsidP="00E42365">
      <w:pPr>
        <w:pStyle w:val="Paragrafoelenco"/>
        <w:numPr>
          <w:ilvl w:val="0"/>
          <w:numId w:val="3"/>
        </w:numPr>
        <w:tabs>
          <w:tab w:val="left" w:pos="384"/>
        </w:tabs>
        <w:spacing w:line="216" w:lineRule="exact"/>
        <w:ind w:right="138" w:hanging="283"/>
        <w:rPr>
          <w:sz w:val="18"/>
        </w:rPr>
      </w:pPr>
      <w:r w:rsidRPr="00E42365">
        <w:rPr>
          <w:sz w:val="18"/>
          <w:lang w:val="it-IT"/>
        </w:rPr>
        <w:t xml:space="preserve">Del Galdo S. et al. </w:t>
      </w:r>
      <w:r w:rsidRPr="00E42365">
        <w:rPr>
          <w:sz w:val="18"/>
        </w:rPr>
        <w:t xml:space="preserve">(2019) Evolutionary modes in protein observable space: the case of thioredoxins. J Mol </w:t>
      </w:r>
      <w:proofErr w:type="spellStart"/>
      <w:r w:rsidRPr="00E42365">
        <w:rPr>
          <w:sz w:val="18"/>
        </w:rPr>
        <w:t>Evol</w:t>
      </w:r>
      <w:proofErr w:type="spellEnd"/>
      <w:r w:rsidRPr="00E42365">
        <w:rPr>
          <w:sz w:val="18"/>
        </w:rPr>
        <w:t>. 87(4-6):175-183</w:t>
      </w:r>
    </w:p>
    <w:p w14:paraId="5668EF69" w14:textId="52B76B3E" w:rsidR="00E42365" w:rsidRPr="00E42365" w:rsidRDefault="00E42365" w:rsidP="00E42365">
      <w:pPr>
        <w:pStyle w:val="Paragrafoelenco"/>
        <w:numPr>
          <w:ilvl w:val="0"/>
          <w:numId w:val="3"/>
        </w:numPr>
        <w:rPr>
          <w:sz w:val="18"/>
        </w:rPr>
      </w:pPr>
      <w:proofErr w:type="spellStart"/>
      <w:r w:rsidRPr="00E42365">
        <w:rPr>
          <w:sz w:val="18"/>
        </w:rPr>
        <w:t>Milanetti</w:t>
      </w:r>
      <w:proofErr w:type="spellEnd"/>
      <w:r w:rsidRPr="00E42365">
        <w:rPr>
          <w:sz w:val="18"/>
        </w:rPr>
        <w:t xml:space="preserve"> E. et al. (2018) Efficient and Accurate Modeling of Conformational Transitions in Proteins: The Case of c-Src Kinase. J Phys Chem B. 122(38):8853-8860</w:t>
      </w:r>
    </w:p>
    <w:p w14:paraId="0984CC85" w14:textId="77777777" w:rsidR="00AE3E37" w:rsidRPr="008756E6" w:rsidRDefault="00AE3E37" w:rsidP="008756E6">
      <w:pPr>
        <w:tabs>
          <w:tab w:val="left" w:pos="384"/>
        </w:tabs>
        <w:ind w:right="117"/>
      </w:pPr>
    </w:p>
    <w:p w14:paraId="46A6C37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6A65C98" w14:textId="77777777" w:rsidR="00AE3E37" w:rsidRPr="00D62425" w:rsidRDefault="00D62425">
      <w:pPr>
        <w:pStyle w:val="Corpotesto"/>
        <w:rPr>
          <w:rFonts w:ascii="Calibri"/>
          <w:b/>
          <w:sz w:val="20"/>
        </w:rPr>
      </w:pPr>
      <w:r>
        <w:rPr>
          <w:rFonts w:ascii="Calibri"/>
          <w:sz w:val="20"/>
        </w:rPr>
        <w:t xml:space="preserve">                 </w:t>
      </w:r>
      <w:r w:rsidRPr="00D62425">
        <w:rPr>
          <w:rFonts w:ascii="Calibri"/>
          <w:b/>
          <w:sz w:val="20"/>
        </w:rPr>
        <w:t>Photograph</w:t>
      </w:r>
    </w:p>
    <w:p w14:paraId="373ADFF4" w14:textId="77777777" w:rsidR="00AE3E37" w:rsidRDefault="00292ED9">
      <w:pPr>
        <w:pStyle w:val="Corpotesto"/>
        <w:spacing w:line="40" w:lineRule="exact"/>
        <w:ind w:left="2202"/>
        <w:rPr>
          <w:rFonts w:ascii="Calibri"/>
          <w:sz w:val="4"/>
        </w:rPr>
      </w:pPr>
      <w:r>
        <w:rPr>
          <w:rFonts w:ascii="Calibri"/>
          <w:noProof/>
          <w:sz w:val="4"/>
          <w:lang w:val="en-IN" w:eastAsia="en-IN"/>
        </w:rPr>
        <mc:AlternateContent>
          <mc:Choice Requires="wpg">
            <w:drawing>
              <wp:inline distT="0" distB="0" distL="0" distR="0" wp14:anchorId="2DE2F5F0" wp14:editId="7701CF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BF1AA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8AE57F9" w14:textId="5F9DEA21" w:rsidR="00AE3E37" w:rsidRDefault="008756E6" w:rsidP="00404E5B">
      <w:pPr>
        <w:spacing w:before="92"/>
        <w:ind w:right="4234"/>
        <w:rPr>
          <w:rFonts w:ascii="Arial"/>
        </w:rPr>
      </w:pPr>
      <w:r>
        <w:rPr>
          <w:noProof/>
        </w:rPr>
        <w:t xml:space="preserve">          </w:t>
      </w:r>
      <w:r w:rsidR="009A39DD">
        <w:rPr>
          <w:noProof/>
          <w:lang w:val="en-IN" w:eastAsia="en-IN"/>
        </w:rPr>
        <w:drawing>
          <wp:inline distT="0" distB="0" distL="0" distR="0" wp14:anchorId="482BCEE0" wp14:editId="53AC4DE0">
            <wp:extent cx="787400" cy="8093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3992" t="8484" r="18297" b="13462"/>
                    <a:stretch/>
                  </pic:blipFill>
                  <pic:spPr bwMode="auto">
                    <a:xfrm>
                      <a:off x="0" y="0"/>
                      <a:ext cx="798204" cy="82046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D4474E">
        <w:rPr>
          <w:noProof/>
        </w:rPr>
        <w:t xml:space="preserve"> </w:t>
      </w:r>
      <w:r w:rsidR="00A9710C">
        <w:rPr>
          <w:rFonts w:ascii="Arial"/>
          <w:color w:val="BF5A14"/>
        </w:rPr>
        <w:t>Biography</w:t>
      </w:r>
    </w:p>
    <w:p w14:paraId="52F4DA22" w14:textId="5AEB61E4" w:rsidR="00600EA6" w:rsidRDefault="00600EA6" w:rsidP="00600EA6">
      <w:pPr>
        <w:pBdr>
          <w:top w:val="nil"/>
          <w:left w:val="nil"/>
          <w:bottom w:val="nil"/>
          <w:right w:val="nil"/>
          <w:between w:val="nil"/>
        </w:pBdr>
        <w:spacing w:before="41"/>
        <w:ind w:left="213" w:right="231"/>
        <w:jc w:val="both"/>
        <w:rPr>
          <w:rFonts w:ascii="Arial" w:eastAsia="Arial" w:hAnsi="Arial" w:cs="Arial"/>
          <w:sz w:val="14"/>
          <w:szCs w:val="14"/>
        </w:rPr>
      </w:pPr>
      <w:r>
        <w:rPr>
          <w:rFonts w:ascii="Arial" w:eastAsia="Arial" w:hAnsi="Arial" w:cs="Arial"/>
          <w:color w:val="00000A"/>
          <w:sz w:val="14"/>
          <w:szCs w:val="14"/>
        </w:rPr>
        <w:t>Josephine Alba is a 2</w:t>
      </w:r>
      <w:r>
        <w:rPr>
          <w:rFonts w:ascii="Arial" w:eastAsia="Arial" w:hAnsi="Arial" w:cs="Arial"/>
          <w:color w:val="00000A"/>
          <w:sz w:val="14"/>
          <w:szCs w:val="14"/>
          <w:vertAlign w:val="superscript"/>
        </w:rPr>
        <w:t>nd</w:t>
      </w:r>
      <w:r>
        <w:rPr>
          <w:rFonts w:ascii="Arial" w:eastAsia="Arial" w:hAnsi="Arial" w:cs="Arial"/>
          <w:color w:val="00000A"/>
          <w:sz w:val="14"/>
          <w:szCs w:val="14"/>
        </w:rPr>
        <w:t xml:space="preserve"> year-PhD student in Chemical Sciences at the University of Rome “Sapienza”, under the supervision of Prof. Marco </w:t>
      </w:r>
      <w:proofErr w:type="spellStart"/>
      <w:r>
        <w:rPr>
          <w:rFonts w:ascii="Arial" w:eastAsia="Arial" w:hAnsi="Arial" w:cs="Arial"/>
          <w:color w:val="00000A"/>
          <w:sz w:val="14"/>
          <w:szCs w:val="14"/>
        </w:rPr>
        <w:t>D’Abramo</w:t>
      </w:r>
      <w:proofErr w:type="spellEnd"/>
      <w:r>
        <w:rPr>
          <w:rFonts w:ascii="Arial" w:eastAsia="Arial" w:hAnsi="Arial" w:cs="Arial"/>
          <w:color w:val="00000A"/>
          <w:sz w:val="14"/>
          <w:szCs w:val="14"/>
        </w:rPr>
        <w:t>. Her PhD project, titled “</w:t>
      </w:r>
      <w:r>
        <w:rPr>
          <w:rFonts w:ascii="Arial" w:eastAsia="Arial" w:hAnsi="Arial" w:cs="Arial"/>
          <w:i/>
          <w:color w:val="00000A"/>
          <w:sz w:val="14"/>
          <w:szCs w:val="14"/>
        </w:rPr>
        <w:t xml:space="preserve">The effect of the conformational behavior of TCR related proteins on their function: a computational approach”, </w:t>
      </w:r>
      <w:r>
        <w:rPr>
          <w:rFonts w:ascii="Arial" w:eastAsia="Arial" w:hAnsi="Arial" w:cs="Arial"/>
          <w:sz w:val="14"/>
          <w:szCs w:val="14"/>
        </w:rPr>
        <w:t xml:space="preserve">is focused on the structural-dynamical characterizations and the study of thermodynamic properties of the T-cell receptor related proteins (such as </w:t>
      </w:r>
      <w:proofErr w:type="spellStart"/>
      <w:r>
        <w:rPr>
          <w:rFonts w:ascii="Arial" w:eastAsia="Arial" w:hAnsi="Arial" w:cs="Arial"/>
          <w:sz w:val="14"/>
          <w:szCs w:val="14"/>
        </w:rPr>
        <w:t>pMHC</w:t>
      </w:r>
      <w:proofErr w:type="spellEnd"/>
      <w:r>
        <w:rPr>
          <w:rFonts w:ascii="Arial" w:eastAsia="Arial" w:hAnsi="Arial" w:cs="Arial"/>
          <w:sz w:val="14"/>
          <w:szCs w:val="14"/>
        </w:rPr>
        <w:t xml:space="preserve"> and Src family Kinase proteins) by means of theoretical-computational approaches. </w:t>
      </w:r>
      <w:r w:rsidRPr="00C76DD4">
        <w:rPr>
          <w:rFonts w:ascii="Arial" w:eastAsia="Arial" w:hAnsi="Arial" w:cs="Arial"/>
          <w:sz w:val="14"/>
          <w:szCs w:val="14"/>
        </w:rPr>
        <w:t xml:space="preserve">She was recently granted by EMBO short term fellowship to spent three months in the </w:t>
      </w:r>
      <w:r>
        <w:rPr>
          <w:rFonts w:ascii="Arial" w:eastAsia="Arial" w:hAnsi="Arial" w:cs="Arial"/>
          <w:sz w:val="14"/>
          <w:szCs w:val="14"/>
        </w:rPr>
        <w:t>group</w:t>
      </w:r>
      <w:r w:rsidRPr="00C76DD4">
        <w:rPr>
          <w:rFonts w:ascii="Arial" w:eastAsia="Arial" w:hAnsi="Arial" w:cs="Arial"/>
          <w:sz w:val="14"/>
          <w:szCs w:val="14"/>
        </w:rPr>
        <w:t xml:space="preserve"> of Prof. Miquel Pons, in Barcelona</w:t>
      </w:r>
      <w:r>
        <w:rPr>
          <w:rFonts w:ascii="Arial" w:eastAsia="Arial" w:hAnsi="Arial" w:cs="Arial"/>
          <w:sz w:val="14"/>
          <w:szCs w:val="14"/>
        </w:rPr>
        <w:t>,</w:t>
      </w:r>
      <w:r w:rsidRPr="00C76DD4">
        <w:rPr>
          <w:rFonts w:ascii="Arial" w:eastAsia="Arial" w:hAnsi="Arial" w:cs="Arial"/>
          <w:sz w:val="14"/>
          <w:szCs w:val="14"/>
        </w:rPr>
        <w:t xml:space="preserve"> for a project related to the structural characterization of the c-Src Kinase</w:t>
      </w:r>
      <w:r>
        <w:rPr>
          <w:rFonts w:ascii="Arial" w:eastAsia="Arial" w:hAnsi="Arial" w:cs="Arial"/>
          <w:sz w:val="14"/>
          <w:szCs w:val="14"/>
        </w:rPr>
        <w:t xml:space="preserve">. The research group has active international collaborations with top-groups in the fields of molecular immunology (Prof. Oreste </w:t>
      </w:r>
      <w:proofErr w:type="spellStart"/>
      <w:r>
        <w:rPr>
          <w:rFonts w:ascii="Arial" w:eastAsia="Arial" w:hAnsi="Arial" w:cs="Arial"/>
          <w:sz w:val="14"/>
          <w:szCs w:val="14"/>
        </w:rPr>
        <w:t>Acuto</w:t>
      </w:r>
      <w:proofErr w:type="spellEnd"/>
      <w:r>
        <w:rPr>
          <w:rFonts w:ascii="Arial" w:eastAsia="Arial" w:hAnsi="Arial" w:cs="Arial"/>
          <w:sz w:val="14"/>
          <w:szCs w:val="14"/>
        </w:rPr>
        <w:t xml:space="preserve"> - University of Oxford and Prof. Wolfgang </w:t>
      </w:r>
      <w:proofErr w:type="spellStart"/>
      <w:r>
        <w:rPr>
          <w:rFonts w:ascii="Arial" w:eastAsia="Arial" w:hAnsi="Arial" w:cs="Arial"/>
          <w:sz w:val="14"/>
          <w:szCs w:val="14"/>
        </w:rPr>
        <w:t>Schamel</w:t>
      </w:r>
      <w:proofErr w:type="spellEnd"/>
      <w:r>
        <w:rPr>
          <w:rFonts w:ascii="Arial" w:eastAsia="Arial" w:hAnsi="Arial" w:cs="Arial"/>
          <w:sz w:val="14"/>
          <w:szCs w:val="14"/>
        </w:rPr>
        <w:t>-University of Freiburg) and molecular biology (D</w:t>
      </w:r>
      <w:r w:rsidR="009A39DD">
        <w:rPr>
          <w:rFonts w:ascii="Arial" w:eastAsia="Arial" w:hAnsi="Arial" w:cs="Arial"/>
          <w:sz w:val="14"/>
          <w:szCs w:val="14"/>
        </w:rPr>
        <w:t>r</w:t>
      </w:r>
      <w:r>
        <w:rPr>
          <w:rFonts w:ascii="Arial" w:eastAsia="Arial" w:hAnsi="Arial" w:cs="Arial"/>
          <w:sz w:val="14"/>
          <w:szCs w:val="14"/>
        </w:rPr>
        <w:t xml:space="preserve">. Maria Teresa </w:t>
      </w:r>
      <w:proofErr w:type="spellStart"/>
      <w:r>
        <w:rPr>
          <w:rFonts w:ascii="Arial" w:eastAsia="Arial" w:hAnsi="Arial" w:cs="Arial"/>
          <w:sz w:val="14"/>
          <w:szCs w:val="14"/>
        </w:rPr>
        <w:t>Fiorillo</w:t>
      </w:r>
      <w:proofErr w:type="spellEnd"/>
      <w:r>
        <w:rPr>
          <w:rFonts w:ascii="Arial" w:eastAsia="Arial" w:hAnsi="Arial" w:cs="Arial"/>
          <w:sz w:val="14"/>
          <w:szCs w:val="14"/>
        </w:rPr>
        <w:t xml:space="preserve"> - University of Rome “Sapienza”).</w:t>
      </w:r>
    </w:p>
    <w:p w14:paraId="74F08CCE" w14:textId="7F192236" w:rsidR="00AE3E37" w:rsidRPr="00D4474E" w:rsidRDefault="00A9710C" w:rsidP="00D4474E">
      <w:pPr>
        <w:spacing w:before="62"/>
        <w:ind w:left="4217" w:right="4235"/>
        <w:jc w:val="center"/>
        <w:rPr>
          <w:rFonts w:ascii="Arial"/>
          <w:sz w:val="14"/>
        </w:rPr>
      </w:pPr>
      <w:r>
        <w:rPr>
          <w:rFonts w:ascii="Arial"/>
          <w:sz w:val="14"/>
        </w:rPr>
        <w:t xml:space="preserve">Email: </w:t>
      </w:r>
      <w:hyperlink r:id="rId11" w:history="1">
        <w:r w:rsidR="00D4474E" w:rsidRPr="007D37CE">
          <w:rPr>
            <w:rStyle w:val="Collegamentoipertestuale"/>
            <w:rFonts w:ascii="Arial"/>
            <w:sz w:val="14"/>
          </w:rPr>
          <w:t>josephine.alba@uniroma1.it</w:t>
        </w:r>
      </w:hyperlink>
      <w:r w:rsidR="00292ED9">
        <w:rPr>
          <w:noProof/>
          <w:lang w:val="en-IN" w:eastAsia="en-IN"/>
        </w:rPr>
        <mc:AlternateContent>
          <mc:Choice Requires="wps">
            <w:drawing>
              <wp:anchor distT="0" distB="0" distL="0" distR="0" simplePos="0" relativeHeight="1072" behindDoc="0" locked="0" layoutInCell="1" allowOverlap="1" wp14:anchorId="0E5B462F" wp14:editId="5EA0220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897D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B56BA37" w14:textId="77777777" w:rsidR="00AE3E37" w:rsidRDefault="00AE3E37">
      <w:pPr>
        <w:pStyle w:val="Corpotesto"/>
        <w:rPr>
          <w:rFonts w:ascii="Arial"/>
          <w:sz w:val="20"/>
        </w:rPr>
      </w:pPr>
    </w:p>
    <w:p w14:paraId="14BAC6CE" w14:textId="7CDA8BF5" w:rsidR="00AE3E37" w:rsidRPr="00D4474E" w:rsidRDefault="00A9710C" w:rsidP="009A39DD">
      <w:pPr>
        <w:spacing w:before="39"/>
        <w:rPr>
          <w:rFonts w:ascii="Minion Pro"/>
          <w:b/>
          <w:sz w:val="20"/>
        </w:rPr>
        <w:sectPr w:rsidR="00AE3E37" w:rsidRPr="00D4474E">
          <w:type w:val="continuous"/>
          <w:pgSz w:w="11910" w:h="16840"/>
          <w:pgMar w:top="1740" w:right="600" w:bottom="840" w:left="620" w:header="720" w:footer="720" w:gutter="0"/>
          <w:cols w:space="720"/>
        </w:sectPr>
      </w:pPr>
      <w:r w:rsidRPr="00B21A57">
        <w:rPr>
          <w:rFonts w:ascii="Minion Pro"/>
          <w:b/>
          <w:sz w:val="20"/>
        </w:rPr>
        <w:t>Notes/Comment</w:t>
      </w:r>
      <w:r w:rsidR="009A39DD">
        <w:rPr>
          <w:rFonts w:ascii="Minion Pro"/>
          <w:b/>
          <w:sz w:val="20"/>
        </w:rPr>
        <w:t>s</w:t>
      </w:r>
    </w:p>
    <w:p w14:paraId="5C69954A" w14:textId="77777777" w:rsidR="00AE3E37" w:rsidRDefault="00AE3E37" w:rsidP="009A39DD">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628A4" w14:textId="77777777" w:rsidR="00F8136A" w:rsidRDefault="00F8136A">
      <w:r>
        <w:separator/>
      </w:r>
    </w:p>
  </w:endnote>
  <w:endnote w:type="continuationSeparator" w:id="0">
    <w:p w14:paraId="59C0C6BD"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5724F"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7B547D3" wp14:editId="10914E6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E2A3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D58F4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B547D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7EE2A3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6D58F4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17AB791" wp14:editId="4BE0F4D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70E4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DC389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AB79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8A70E4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BDC389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01DBAAB" wp14:editId="5F8EEE7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2E44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BD8C5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DBAAB"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AC2E44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1BD8C5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478100" w14:textId="77777777" w:rsidR="00F8136A" w:rsidRDefault="00F8136A">
      <w:r>
        <w:separator/>
      </w:r>
    </w:p>
  </w:footnote>
  <w:footnote w:type="continuationSeparator" w:id="0">
    <w:p w14:paraId="589765F7"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2FAF8" w14:textId="77777777" w:rsidR="00AE3E37" w:rsidRDefault="00292ED9">
    <w:pPr>
      <w:pStyle w:val="Corpotes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DEA741E" wp14:editId="7675550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E20F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EA741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95E20F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E4BB4E1" wp14:editId="0966CC3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F3784"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21954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BB4E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59F3784"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21954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15F51"/>
    <w:rsid w:val="001263DF"/>
    <w:rsid w:val="001E763C"/>
    <w:rsid w:val="00292ED9"/>
    <w:rsid w:val="00314AFB"/>
    <w:rsid w:val="003B76D9"/>
    <w:rsid w:val="00404E5B"/>
    <w:rsid w:val="00414F7B"/>
    <w:rsid w:val="004355DC"/>
    <w:rsid w:val="004749B4"/>
    <w:rsid w:val="00494130"/>
    <w:rsid w:val="004F3523"/>
    <w:rsid w:val="005973B9"/>
    <w:rsid w:val="005B3A56"/>
    <w:rsid w:val="00600EA6"/>
    <w:rsid w:val="006060CE"/>
    <w:rsid w:val="0063497F"/>
    <w:rsid w:val="0078738A"/>
    <w:rsid w:val="00873DF0"/>
    <w:rsid w:val="008756E6"/>
    <w:rsid w:val="009A39DD"/>
    <w:rsid w:val="009B2D44"/>
    <w:rsid w:val="00A07E82"/>
    <w:rsid w:val="00A9710C"/>
    <w:rsid w:val="00AE3E37"/>
    <w:rsid w:val="00B21A57"/>
    <w:rsid w:val="00C33602"/>
    <w:rsid w:val="00CD6F55"/>
    <w:rsid w:val="00D4474E"/>
    <w:rsid w:val="00D62425"/>
    <w:rsid w:val="00DE3104"/>
    <w:rsid w:val="00E4236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4A97AE"/>
  <w15:docId w15:val="{F885902A-9FDF-407C-80C2-2A47658DB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styleId="Menzionenonrisolta">
    <w:name w:val="Unresolved Mention"/>
    <w:basedOn w:val="Carpredefinitoparagrafo"/>
    <w:uiPriority w:val="99"/>
    <w:semiHidden/>
    <w:unhideWhenUsed/>
    <w:rsid w:val="00D447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sephine.alba@uniroma1.it"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629</Words>
  <Characters>3589</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Walter</cp:lastModifiedBy>
  <cp:revision>2</cp:revision>
  <cp:lastPrinted>2019-08-01T09:12:00Z</cp:lastPrinted>
  <dcterms:created xsi:type="dcterms:W3CDTF">2019-08-01T09:17:00Z</dcterms:created>
  <dcterms:modified xsi:type="dcterms:W3CDTF">2019-08-01T09:17:00Z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