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8E1" w:rsidRDefault="003158E1">
      <w:pPr>
        <w:rPr>
          <w:rStyle w:val="fontstyle01"/>
        </w:rPr>
      </w:pPr>
    </w:p>
    <w:p w:rsidR="001B2CEE" w:rsidRDefault="003158E1" w:rsidP="003158E1">
      <w:pPr>
        <w:jc w:val="right"/>
        <w:rPr>
          <w:rFonts w:ascii="Georgia" w:hAnsi="Georgia"/>
          <w:color w:val="000000"/>
          <w:sz w:val="24"/>
        </w:rPr>
      </w:pPr>
      <w:r w:rsidRPr="003158E1">
        <w:rPr>
          <w:rFonts w:ascii="Georgia-Bold" w:hAnsi="Georgia-Bold"/>
          <w:b/>
          <w:bCs/>
          <w:color w:val="000000"/>
          <w:sz w:val="24"/>
        </w:rPr>
        <w:t>DEMOGRAPHIC PATTERN OF CHRONIC LYMPHOCYTIC LEUKAEMIA</w:t>
      </w:r>
      <w:r w:rsidRPr="003158E1">
        <w:rPr>
          <w:rFonts w:ascii="Georgia-Bold" w:hAnsi="Georgia-Bold"/>
          <w:b/>
          <w:bCs/>
          <w:color w:val="000000"/>
        </w:rPr>
        <w:br/>
      </w:r>
      <w:r w:rsidRPr="003158E1">
        <w:rPr>
          <w:rFonts w:ascii="Georgia-Bold" w:hAnsi="Georgia-Bold"/>
          <w:b/>
          <w:bCs/>
          <w:color w:val="000000"/>
          <w:sz w:val="24"/>
        </w:rPr>
        <w:t>IN A TERTIARY HOSPITAL IN CALABAR, SOUTH-SOUTH NIGERIA</w:t>
      </w:r>
      <w:r w:rsidRPr="003158E1">
        <w:rPr>
          <w:rFonts w:ascii="Georgia-Bold" w:hAnsi="Georgia-Bold"/>
          <w:b/>
          <w:bCs/>
          <w:color w:val="000000"/>
        </w:rPr>
        <w:br/>
      </w:r>
      <w:r w:rsidRPr="003158E1">
        <w:rPr>
          <w:rFonts w:ascii="Georgia" w:hAnsi="Georgia"/>
          <w:color w:val="000000"/>
          <w:sz w:val="16"/>
          <w:szCs w:val="16"/>
        </w:rPr>
        <w:t>1</w:t>
      </w:r>
      <w:r w:rsidRPr="003158E1">
        <w:rPr>
          <w:rFonts w:ascii="Georgia" w:hAnsi="Georgia"/>
          <w:color w:val="000000"/>
          <w:sz w:val="24"/>
        </w:rPr>
        <w:t xml:space="preserve">Akaba Kingsley, </w:t>
      </w:r>
      <w:r w:rsidRPr="003158E1">
        <w:rPr>
          <w:rFonts w:ascii="Georgia" w:hAnsi="Georgia"/>
          <w:color w:val="000000"/>
          <w:sz w:val="16"/>
          <w:szCs w:val="16"/>
        </w:rPr>
        <w:t>2</w:t>
      </w:r>
      <w:r w:rsidRPr="003158E1">
        <w:rPr>
          <w:rFonts w:ascii="Georgia" w:hAnsi="Georgia"/>
          <w:color w:val="000000"/>
          <w:sz w:val="24"/>
        </w:rPr>
        <w:t xml:space="preserve">Ofem </w:t>
      </w:r>
      <w:proofErr w:type="spellStart"/>
      <w:r w:rsidRPr="003158E1">
        <w:rPr>
          <w:rFonts w:ascii="Georgia" w:hAnsi="Georgia"/>
          <w:color w:val="000000"/>
          <w:sz w:val="24"/>
        </w:rPr>
        <w:t>Enang</w:t>
      </w:r>
      <w:proofErr w:type="spellEnd"/>
      <w:r w:rsidRPr="003158E1">
        <w:rPr>
          <w:rFonts w:ascii="Georgia" w:hAnsi="Georgia"/>
          <w:color w:val="000000"/>
          <w:sz w:val="24"/>
        </w:rPr>
        <w:t xml:space="preserve">, </w:t>
      </w:r>
      <w:r w:rsidRPr="003158E1">
        <w:rPr>
          <w:rFonts w:ascii="Georgia" w:hAnsi="Georgia"/>
          <w:color w:val="000000"/>
          <w:sz w:val="16"/>
          <w:szCs w:val="16"/>
        </w:rPr>
        <w:t>1</w:t>
      </w:r>
      <w:r w:rsidRPr="003158E1">
        <w:rPr>
          <w:rFonts w:ascii="Georgia" w:hAnsi="Georgia"/>
          <w:color w:val="000000"/>
          <w:sz w:val="24"/>
        </w:rPr>
        <w:t xml:space="preserve">Igwilo Hilary, </w:t>
      </w:r>
      <w:r w:rsidRPr="003158E1">
        <w:rPr>
          <w:rFonts w:ascii="Georgia" w:hAnsi="Georgia"/>
          <w:color w:val="000000"/>
          <w:sz w:val="16"/>
          <w:szCs w:val="16"/>
        </w:rPr>
        <w:t>3</w:t>
      </w:r>
      <w:r w:rsidRPr="003158E1">
        <w:rPr>
          <w:rFonts w:ascii="Georgia" w:hAnsi="Georgia"/>
          <w:color w:val="000000"/>
          <w:sz w:val="24"/>
        </w:rPr>
        <w:t xml:space="preserve">Eduvie Victor, </w:t>
      </w:r>
      <w:r w:rsidRPr="003158E1">
        <w:rPr>
          <w:rFonts w:ascii="Georgia" w:hAnsi="Georgia"/>
          <w:color w:val="000000"/>
          <w:sz w:val="16"/>
          <w:szCs w:val="16"/>
        </w:rPr>
        <w:t>4</w:t>
      </w:r>
      <w:r w:rsidRPr="003158E1">
        <w:rPr>
          <w:rFonts w:ascii="Georgia" w:hAnsi="Georgia"/>
          <w:color w:val="000000"/>
          <w:sz w:val="24"/>
        </w:rPr>
        <w:t xml:space="preserve">Akaba </w:t>
      </w:r>
      <w:proofErr w:type="spellStart"/>
      <w:r w:rsidRPr="003158E1">
        <w:rPr>
          <w:rFonts w:ascii="Georgia" w:hAnsi="Georgia"/>
          <w:color w:val="000000"/>
          <w:sz w:val="24"/>
        </w:rPr>
        <w:t>Edakabasi</w:t>
      </w:r>
      <w:proofErr w:type="spellEnd"/>
      <w:r w:rsidRPr="003158E1">
        <w:rPr>
          <w:rFonts w:ascii="Georgia" w:hAnsi="Georgia"/>
          <w:color w:val="000000"/>
          <w:sz w:val="24"/>
        </w:rPr>
        <w:t>,</w:t>
      </w:r>
      <w:r w:rsidRPr="003158E1">
        <w:rPr>
          <w:rFonts w:ascii="Georgia" w:hAnsi="Georgia"/>
          <w:color w:val="000000"/>
        </w:rPr>
        <w:br/>
      </w:r>
      <w:r w:rsidRPr="003158E1">
        <w:rPr>
          <w:rFonts w:ascii="Georgia" w:hAnsi="Georgia"/>
          <w:color w:val="000000"/>
          <w:sz w:val="16"/>
          <w:szCs w:val="16"/>
        </w:rPr>
        <w:t>1</w:t>
      </w:r>
      <w:r w:rsidRPr="003158E1">
        <w:rPr>
          <w:rFonts w:ascii="Georgia" w:hAnsi="Georgia"/>
          <w:color w:val="000000"/>
          <w:sz w:val="24"/>
        </w:rPr>
        <w:t xml:space="preserve">Omini Cletus, </w:t>
      </w:r>
      <w:r w:rsidRPr="003158E1">
        <w:rPr>
          <w:rFonts w:ascii="Georgia" w:hAnsi="Georgia"/>
          <w:color w:val="000000"/>
          <w:sz w:val="16"/>
          <w:szCs w:val="16"/>
        </w:rPr>
        <w:t>5</w:t>
      </w:r>
      <w:r w:rsidRPr="003158E1">
        <w:rPr>
          <w:rFonts w:ascii="Georgia" w:hAnsi="Georgia"/>
          <w:color w:val="000000"/>
          <w:sz w:val="24"/>
        </w:rPr>
        <w:t xml:space="preserve">Olukayode </w:t>
      </w:r>
      <w:proofErr w:type="spellStart"/>
      <w:r w:rsidRPr="003158E1">
        <w:rPr>
          <w:rFonts w:ascii="Georgia" w:hAnsi="Georgia"/>
          <w:color w:val="000000"/>
          <w:sz w:val="24"/>
        </w:rPr>
        <w:t>Oshatuyi</w:t>
      </w:r>
      <w:proofErr w:type="spellEnd"/>
      <w:r w:rsidRPr="003158E1">
        <w:rPr>
          <w:rFonts w:ascii="Georgia" w:hAnsi="Georgia"/>
          <w:color w:val="000000"/>
        </w:rPr>
        <w:br/>
      </w:r>
      <w:r w:rsidRPr="003158E1">
        <w:rPr>
          <w:rFonts w:ascii="Georgia" w:hAnsi="Georgia"/>
          <w:color w:val="000000"/>
          <w:sz w:val="16"/>
          <w:szCs w:val="16"/>
        </w:rPr>
        <w:t>1</w:t>
      </w:r>
      <w:r w:rsidRPr="003158E1">
        <w:rPr>
          <w:rFonts w:ascii="Georgia" w:hAnsi="Georgia"/>
          <w:color w:val="000000"/>
          <w:sz w:val="24"/>
        </w:rPr>
        <w:t>Department of Haematology and Blood Transfusion, University of Calabar Teaching</w:t>
      </w:r>
      <w:r w:rsidRPr="003158E1">
        <w:rPr>
          <w:rFonts w:ascii="Georgia" w:hAnsi="Georgia"/>
          <w:color w:val="000000"/>
        </w:rPr>
        <w:br/>
      </w:r>
      <w:r w:rsidRPr="003158E1">
        <w:rPr>
          <w:rFonts w:ascii="Georgia" w:hAnsi="Georgia"/>
          <w:color w:val="000000"/>
          <w:sz w:val="24"/>
        </w:rPr>
        <w:t>Hospital, Calabar.</w:t>
      </w:r>
      <w:r w:rsidRPr="003158E1">
        <w:rPr>
          <w:rFonts w:ascii="Georgia" w:hAnsi="Georgia"/>
          <w:color w:val="000000"/>
        </w:rPr>
        <w:br/>
      </w:r>
      <w:proofErr w:type="gramStart"/>
      <w:r w:rsidRPr="003158E1">
        <w:rPr>
          <w:rFonts w:ascii="Georgia" w:hAnsi="Georgia"/>
          <w:color w:val="000000"/>
          <w:sz w:val="16"/>
          <w:szCs w:val="16"/>
        </w:rPr>
        <w:t>2</w:t>
      </w:r>
      <w:r w:rsidRPr="003158E1">
        <w:rPr>
          <w:rFonts w:ascii="Georgia" w:hAnsi="Georgia"/>
          <w:color w:val="000000"/>
          <w:sz w:val="24"/>
        </w:rPr>
        <w:t>Department of Internal Medicine, University of Calabar Teaching Hospital, Calabar.</w:t>
      </w:r>
      <w:proofErr w:type="gramEnd"/>
      <w:r w:rsidRPr="003158E1">
        <w:rPr>
          <w:rFonts w:ascii="Georgia" w:hAnsi="Georgia"/>
          <w:color w:val="000000"/>
        </w:rPr>
        <w:br/>
      </w:r>
      <w:proofErr w:type="gramStart"/>
      <w:r w:rsidRPr="003158E1">
        <w:rPr>
          <w:rFonts w:ascii="Georgia" w:hAnsi="Georgia"/>
          <w:color w:val="000000"/>
          <w:sz w:val="16"/>
          <w:szCs w:val="16"/>
        </w:rPr>
        <w:t>3</w:t>
      </w:r>
      <w:r w:rsidRPr="003158E1">
        <w:rPr>
          <w:rFonts w:ascii="Georgia" w:hAnsi="Georgia"/>
          <w:color w:val="000000"/>
          <w:sz w:val="24"/>
        </w:rPr>
        <w:t>Department of Ophthalmology, University of Calabar Teaching Hospital, Calabar.</w:t>
      </w:r>
      <w:proofErr w:type="gramEnd"/>
      <w:r w:rsidRPr="003158E1">
        <w:rPr>
          <w:rFonts w:ascii="Georgia" w:hAnsi="Georgia"/>
          <w:color w:val="000000"/>
        </w:rPr>
        <w:br/>
      </w:r>
      <w:proofErr w:type="gramStart"/>
      <w:r w:rsidRPr="003158E1">
        <w:rPr>
          <w:rFonts w:ascii="Georgia" w:hAnsi="Georgia"/>
          <w:color w:val="000000"/>
          <w:sz w:val="16"/>
          <w:szCs w:val="16"/>
        </w:rPr>
        <w:t>4</w:t>
      </w:r>
      <w:r w:rsidRPr="003158E1">
        <w:rPr>
          <w:rFonts w:ascii="Georgia" w:hAnsi="Georgia"/>
          <w:color w:val="000000"/>
          <w:sz w:val="24"/>
        </w:rPr>
        <w:t>Department of Histopathology, University of Calabar Teaching Hospital, Calabar.</w:t>
      </w:r>
      <w:proofErr w:type="gramEnd"/>
      <w:r w:rsidRPr="003158E1">
        <w:rPr>
          <w:rFonts w:ascii="Georgia" w:hAnsi="Georgia"/>
          <w:color w:val="000000"/>
        </w:rPr>
        <w:br/>
      </w:r>
      <w:proofErr w:type="gramStart"/>
      <w:r w:rsidRPr="003158E1">
        <w:rPr>
          <w:rFonts w:ascii="Georgia" w:hAnsi="Georgia"/>
          <w:color w:val="000000"/>
          <w:sz w:val="16"/>
          <w:szCs w:val="16"/>
        </w:rPr>
        <w:t>5</w:t>
      </w:r>
      <w:r w:rsidRPr="003158E1">
        <w:rPr>
          <w:rFonts w:ascii="Georgia" w:hAnsi="Georgia"/>
          <w:color w:val="000000"/>
          <w:sz w:val="24"/>
        </w:rPr>
        <w:t xml:space="preserve">Department of Biochemistry, </w:t>
      </w:r>
      <w:proofErr w:type="spellStart"/>
      <w:r w:rsidRPr="003158E1">
        <w:rPr>
          <w:rFonts w:ascii="Georgia" w:hAnsi="Georgia"/>
          <w:color w:val="000000"/>
          <w:sz w:val="24"/>
        </w:rPr>
        <w:t>Ebonyi</w:t>
      </w:r>
      <w:proofErr w:type="spellEnd"/>
      <w:r w:rsidRPr="003158E1">
        <w:rPr>
          <w:rFonts w:ascii="Georgia" w:hAnsi="Georgia"/>
          <w:color w:val="000000"/>
          <w:sz w:val="24"/>
        </w:rPr>
        <w:t xml:space="preserve"> State University, </w:t>
      </w:r>
      <w:proofErr w:type="spellStart"/>
      <w:r w:rsidRPr="003158E1">
        <w:rPr>
          <w:rFonts w:ascii="Georgia" w:hAnsi="Georgia"/>
          <w:color w:val="000000"/>
          <w:sz w:val="24"/>
        </w:rPr>
        <w:t>Abakaliki</w:t>
      </w:r>
      <w:proofErr w:type="spellEnd"/>
      <w:r w:rsidRPr="003158E1">
        <w:rPr>
          <w:rFonts w:ascii="Georgia" w:hAnsi="Georgia"/>
          <w:color w:val="000000"/>
          <w:sz w:val="24"/>
        </w:rPr>
        <w:t>.</w:t>
      </w:r>
      <w:proofErr w:type="gramEnd"/>
    </w:p>
    <w:p w:rsidR="003158E1" w:rsidRDefault="003158E1" w:rsidP="003158E1">
      <w:pPr>
        <w:jc w:val="right"/>
        <w:rPr>
          <w:rStyle w:val="fontstyle01"/>
        </w:rPr>
      </w:pPr>
      <w:r w:rsidRPr="003158E1">
        <w:rPr>
          <w:rFonts w:ascii="Georgia" w:hAnsi="Georgia"/>
          <w:color w:val="000000"/>
        </w:rPr>
        <w:br/>
      </w:r>
      <w:r w:rsidRPr="003158E1">
        <w:rPr>
          <w:rFonts w:ascii="Georgia" w:hAnsi="Georgia"/>
          <w:color w:val="000000"/>
          <w:sz w:val="24"/>
        </w:rPr>
        <w:t>Correspondence Author</w:t>
      </w:r>
      <w:r w:rsidRPr="003158E1">
        <w:rPr>
          <w:rFonts w:ascii="Georgia" w:hAnsi="Georgia"/>
          <w:color w:val="000000"/>
        </w:rPr>
        <w:br/>
      </w:r>
      <w:r w:rsidRPr="003158E1">
        <w:rPr>
          <w:rFonts w:ascii="Georgia" w:hAnsi="Georgia"/>
          <w:color w:val="000000"/>
          <w:sz w:val="24"/>
        </w:rPr>
        <w:t xml:space="preserve">Dr. </w:t>
      </w:r>
      <w:proofErr w:type="spellStart"/>
      <w:r w:rsidRPr="003158E1">
        <w:rPr>
          <w:rFonts w:ascii="Georgia" w:hAnsi="Georgia"/>
          <w:color w:val="000000"/>
          <w:sz w:val="24"/>
        </w:rPr>
        <w:t>Akaba</w:t>
      </w:r>
      <w:proofErr w:type="spellEnd"/>
      <w:r w:rsidRPr="003158E1">
        <w:rPr>
          <w:rFonts w:ascii="Georgia" w:hAnsi="Georgia"/>
          <w:color w:val="000000"/>
          <w:sz w:val="24"/>
        </w:rPr>
        <w:t xml:space="preserve"> Kingsley</w:t>
      </w:r>
      <w:r w:rsidRPr="003158E1">
        <w:rPr>
          <w:rFonts w:ascii="Georgia" w:hAnsi="Georgia"/>
          <w:color w:val="000000"/>
        </w:rPr>
        <w:br/>
      </w:r>
      <w:r w:rsidRPr="003158E1">
        <w:rPr>
          <w:rFonts w:ascii="Georgia" w:hAnsi="Georgia"/>
          <w:color w:val="0000FF"/>
          <w:sz w:val="24"/>
        </w:rPr>
        <w:t>Akaba_kingsley@yahoo.com</w:t>
      </w:r>
      <w:r w:rsidRPr="003158E1">
        <w:rPr>
          <w:rFonts w:ascii="Georgia" w:hAnsi="Georgia"/>
          <w:color w:val="0000FF"/>
        </w:rPr>
        <w:br/>
      </w:r>
      <w:r w:rsidRPr="003158E1">
        <w:rPr>
          <w:rFonts w:ascii="Georgia" w:hAnsi="Georgia"/>
          <w:color w:val="000000"/>
          <w:sz w:val="24"/>
        </w:rPr>
        <w:t>+2348134205756</w:t>
      </w:r>
    </w:p>
    <w:p w:rsidR="003158E1" w:rsidRDefault="003158E1">
      <w:pPr>
        <w:rPr>
          <w:rStyle w:val="fontstyle01"/>
        </w:rPr>
      </w:pPr>
    </w:p>
    <w:p w:rsidR="003331A8" w:rsidRDefault="003158E1" w:rsidP="003158E1">
      <w:pPr>
        <w:jc w:val="both"/>
      </w:pPr>
      <w:r>
        <w:rPr>
          <w:rStyle w:val="fontstyle01"/>
        </w:rPr>
        <w:t>ABSTRACT</w:t>
      </w:r>
      <w:r>
        <w:rPr>
          <w:rFonts w:ascii="Georgia-Bold" w:hAnsi="Georgia-Bold"/>
          <w:b/>
          <w:bCs/>
          <w:color w:val="000000"/>
        </w:rPr>
        <w:br/>
      </w:r>
      <w:r>
        <w:rPr>
          <w:rStyle w:val="fontstyle01"/>
        </w:rPr>
        <w:t xml:space="preserve">Background: </w:t>
      </w:r>
      <w:r>
        <w:rPr>
          <w:rStyle w:val="fontstyle21"/>
        </w:rPr>
        <w:t>Chronic lymphocytic leukaemia (CLL) is a heterogeneous group of</w:t>
      </w:r>
      <w:r>
        <w:rPr>
          <w:rFonts w:ascii="Georgia" w:hAnsi="Georgia"/>
          <w:color w:val="000000"/>
        </w:rPr>
        <w:br/>
      </w:r>
      <w:r>
        <w:rPr>
          <w:rStyle w:val="fontstyle21"/>
        </w:rPr>
        <w:t xml:space="preserve">monoclonal form of </w:t>
      </w:r>
      <w:proofErr w:type="spellStart"/>
      <w:r>
        <w:rPr>
          <w:rStyle w:val="fontstyle21"/>
        </w:rPr>
        <w:t>lymphoproliferative</w:t>
      </w:r>
      <w:proofErr w:type="spellEnd"/>
      <w:r>
        <w:rPr>
          <w:rStyle w:val="fontstyle21"/>
        </w:rPr>
        <w:t xml:space="preserve"> disorder which is usually common among</w:t>
      </w:r>
      <w:r>
        <w:rPr>
          <w:rFonts w:ascii="Georgia" w:hAnsi="Georgia"/>
          <w:color w:val="000000"/>
        </w:rPr>
        <w:br/>
      </w:r>
      <w:r>
        <w:rPr>
          <w:rStyle w:val="fontstyle21"/>
        </w:rPr>
        <w:t>older adults. There is an increasing trend in the number of patients presenting with</w:t>
      </w:r>
      <w:r>
        <w:rPr>
          <w:rFonts w:ascii="Georgia" w:hAnsi="Georgia"/>
          <w:color w:val="000000"/>
        </w:rPr>
        <w:br/>
      </w:r>
      <w:r>
        <w:rPr>
          <w:rStyle w:val="fontstyle21"/>
        </w:rPr>
        <w:t>the disease.</w:t>
      </w:r>
      <w:r>
        <w:rPr>
          <w:rFonts w:ascii="Georgia" w:hAnsi="Georgia"/>
          <w:color w:val="000000"/>
        </w:rPr>
        <w:br/>
      </w:r>
      <w:r>
        <w:rPr>
          <w:rStyle w:val="fontstyle01"/>
        </w:rPr>
        <w:t xml:space="preserve">Aim: </w:t>
      </w:r>
      <w:r>
        <w:rPr>
          <w:rStyle w:val="fontstyle21"/>
        </w:rPr>
        <w:t>This study aims to determine the epidemiology pattern of CLL in Cross River</w:t>
      </w:r>
      <w:r>
        <w:rPr>
          <w:rFonts w:ascii="Georgia" w:hAnsi="Georgia"/>
          <w:color w:val="000000"/>
        </w:rPr>
        <w:br/>
      </w:r>
      <w:r>
        <w:rPr>
          <w:rStyle w:val="fontstyle21"/>
        </w:rPr>
        <w:t>state.</w:t>
      </w:r>
      <w:r>
        <w:rPr>
          <w:rFonts w:ascii="Georgia" w:hAnsi="Georgia"/>
          <w:color w:val="000000"/>
        </w:rPr>
        <w:br/>
      </w:r>
      <w:r>
        <w:rPr>
          <w:rStyle w:val="fontstyle01"/>
        </w:rPr>
        <w:t xml:space="preserve">Methodology: </w:t>
      </w:r>
      <w:r>
        <w:rPr>
          <w:rStyle w:val="fontstyle21"/>
        </w:rPr>
        <w:t>A retrospective study with ten years data (2010-2019) obtained from</w:t>
      </w:r>
      <w:r>
        <w:rPr>
          <w:rFonts w:ascii="Georgia" w:hAnsi="Georgia"/>
          <w:color w:val="000000"/>
        </w:rPr>
        <w:br/>
      </w:r>
      <w:r>
        <w:rPr>
          <w:rStyle w:val="fontstyle21"/>
        </w:rPr>
        <w:t>the register of the Department of Haematology and Blood Transfusion, University of</w:t>
      </w:r>
      <w:r>
        <w:rPr>
          <w:rFonts w:ascii="Georgia" w:hAnsi="Georgia"/>
          <w:color w:val="000000"/>
        </w:rPr>
        <w:br/>
      </w:r>
      <w:r>
        <w:rPr>
          <w:rStyle w:val="fontstyle21"/>
        </w:rPr>
        <w:t>Calabar Teaching Hospital, Calabar. The data collected includes the date of</w:t>
      </w:r>
      <w:r>
        <w:rPr>
          <w:rFonts w:ascii="Georgia" w:hAnsi="Georgia"/>
          <w:color w:val="000000"/>
        </w:rPr>
        <w:br/>
      </w:r>
      <w:r>
        <w:rPr>
          <w:rStyle w:val="fontstyle21"/>
        </w:rPr>
        <w:t>presentation, the age, gender, location of residence and occupations of the patients.</w:t>
      </w:r>
      <w:r>
        <w:rPr>
          <w:rFonts w:ascii="Georgia" w:hAnsi="Georgia"/>
          <w:color w:val="000000"/>
        </w:rPr>
        <w:br/>
      </w:r>
      <w:r>
        <w:rPr>
          <w:rStyle w:val="fontstyle21"/>
        </w:rPr>
        <w:t>The data were computed into Microsoft excel 2016 spreadsheet and analyzed with the</w:t>
      </w:r>
      <w:r>
        <w:rPr>
          <w:rFonts w:ascii="Georgia" w:hAnsi="Georgia"/>
          <w:color w:val="000000"/>
        </w:rPr>
        <w:br/>
      </w:r>
      <w:r>
        <w:rPr>
          <w:rStyle w:val="fontstyle21"/>
        </w:rPr>
        <w:t>IBM SPSS Version 22. The results were presented using simple descriptive statistics.</w:t>
      </w:r>
      <w:r>
        <w:rPr>
          <w:rFonts w:ascii="Georgia" w:hAnsi="Georgia"/>
          <w:color w:val="000000"/>
        </w:rPr>
        <w:br/>
      </w:r>
      <w:r>
        <w:rPr>
          <w:rStyle w:val="fontstyle01"/>
        </w:rPr>
        <w:t xml:space="preserve">Result: </w:t>
      </w:r>
      <w:r>
        <w:rPr>
          <w:rStyle w:val="fontstyle21"/>
        </w:rPr>
        <w:t xml:space="preserve">A total of 47 cases were seen during the ten years period, with a </w:t>
      </w:r>
      <w:proofErr w:type="gramStart"/>
      <w:r>
        <w:rPr>
          <w:rStyle w:val="fontstyle21"/>
        </w:rPr>
        <w:t>male :</w:t>
      </w:r>
      <w:proofErr w:type="gramEnd"/>
      <w:r>
        <w:rPr>
          <w:rStyle w:val="fontstyle21"/>
        </w:rPr>
        <w:t xml:space="preserve"> female</w:t>
      </w:r>
      <w:r>
        <w:rPr>
          <w:rFonts w:ascii="Georgia" w:hAnsi="Georgia"/>
          <w:color w:val="000000"/>
        </w:rPr>
        <w:br/>
      </w:r>
      <w:r>
        <w:rPr>
          <w:rStyle w:val="fontstyle21"/>
        </w:rPr>
        <w:t>ratio of 1:1. The mean age at presentation was 59 years. Majority of the patients were</w:t>
      </w:r>
      <w:r>
        <w:rPr>
          <w:rFonts w:ascii="Georgia" w:hAnsi="Georgia"/>
          <w:color w:val="000000"/>
        </w:rPr>
        <w:br/>
      </w:r>
      <w:r>
        <w:rPr>
          <w:rStyle w:val="fontstyle21"/>
        </w:rPr>
        <w:t>in their fifth and six decades of life. Most of patients (44.68%) practices farming as</w:t>
      </w:r>
      <w:r>
        <w:rPr>
          <w:rFonts w:ascii="Georgia" w:hAnsi="Georgia"/>
          <w:color w:val="000000"/>
        </w:rPr>
        <w:br/>
      </w:r>
      <w:r>
        <w:rPr>
          <w:rStyle w:val="fontstyle21"/>
        </w:rPr>
        <w:t>their profession. The annual pattern of CLL distribution showed a peak in 2012, 2013</w:t>
      </w:r>
      <w:r>
        <w:rPr>
          <w:rFonts w:ascii="Georgia" w:hAnsi="Georgia"/>
          <w:color w:val="000000"/>
        </w:rPr>
        <w:br/>
      </w:r>
      <w:r>
        <w:rPr>
          <w:rStyle w:val="fontstyle21"/>
        </w:rPr>
        <w:t xml:space="preserve">and 2018. A large proportion of the patients during the period </w:t>
      </w:r>
      <w:proofErr w:type="gramStart"/>
      <w:r>
        <w:rPr>
          <w:rStyle w:val="fontstyle21"/>
        </w:rPr>
        <w:t>resides</w:t>
      </w:r>
      <w:proofErr w:type="gramEnd"/>
      <w:r>
        <w:rPr>
          <w:rStyle w:val="fontstyle21"/>
        </w:rPr>
        <w:t xml:space="preserve"> in Calabar.</w:t>
      </w:r>
      <w:r>
        <w:rPr>
          <w:rFonts w:ascii="Georgia" w:hAnsi="Georgia"/>
          <w:color w:val="000000"/>
        </w:rPr>
        <w:br/>
      </w:r>
      <w:r>
        <w:rPr>
          <w:rStyle w:val="fontstyle01"/>
        </w:rPr>
        <w:t xml:space="preserve">Conclusion: </w:t>
      </w:r>
      <w:r>
        <w:rPr>
          <w:rStyle w:val="fontstyle21"/>
        </w:rPr>
        <w:t xml:space="preserve">The study has </w:t>
      </w:r>
      <w:proofErr w:type="gramStart"/>
      <w:r>
        <w:rPr>
          <w:rStyle w:val="fontstyle21"/>
        </w:rPr>
        <w:t>re-awaken</w:t>
      </w:r>
      <w:proofErr w:type="gramEnd"/>
      <w:r>
        <w:rPr>
          <w:rStyle w:val="fontstyle21"/>
        </w:rPr>
        <w:t xml:space="preserve"> our consciousness on the increasing trend on</w:t>
      </w:r>
      <w:r>
        <w:rPr>
          <w:rFonts w:ascii="Georgia" w:hAnsi="Georgia"/>
          <w:color w:val="000000"/>
        </w:rPr>
        <w:br/>
      </w:r>
      <w:r>
        <w:rPr>
          <w:rStyle w:val="fontstyle21"/>
        </w:rPr>
        <w:t>the epidemiological burden of chronic lymphocytic leukaemia in our environment and</w:t>
      </w:r>
      <w:r>
        <w:rPr>
          <w:rFonts w:ascii="Georgia" w:hAnsi="Georgia"/>
          <w:color w:val="000000"/>
        </w:rPr>
        <w:br/>
      </w:r>
      <w:r>
        <w:rPr>
          <w:rStyle w:val="fontstyle21"/>
        </w:rPr>
        <w:t>will help to enhance further investigation into the relationship between the rising</w:t>
      </w:r>
      <w:r>
        <w:rPr>
          <w:rFonts w:ascii="Georgia" w:hAnsi="Georgia"/>
          <w:color w:val="000000"/>
        </w:rPr>
        <w:br/>
      </w:r>
      <w:r>
        <w:rPr>
          <w:rStyle w:val="fontstyle21"/>
        </w:rPr>
        <w:t>trend and available possible risk factors in our environment.</w:t>
      </w:r>
      <w:r>
        <w:rPr>
          <w:rFonts w:ascii="Georgia" w:hAnsi="Georgia"/>
          <w:color w:val="000000"/>
        </w:rPr>
        <w:br/>
      </w:r>
      <w:r>
        <w:rPr>
          <w:rStyle w:val="fontstyle01"/>
        </w:rPr>
        <w:t xml:space="preserve">Keywords: </w:t>
      </w:r>
      <w:r>
        <w:rPr>
          <w:rStyle w:val="fontstyle21"/>
        </w:rPr>
        <w:t>Chronic Lymphocytic Leukaemia, Demography, Calabar.</w:t>
      </w:r>
    </w:p>
    <w:sectPr w:rsidR="003331A8" w:rsidSect="002B13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proofState w:spelling="clean" w:grammar="clean"/>
  <w:defaultTabStop w:val="720"/>
  <w:characterSpacingControl w:val="doNotCompress"/>
  <w:compat/>
  <w:rsids>
    <w:rsidRoot w:val="003158E1"/>
    <w:rsid w:val="001B2CEE"/>
    <w:rsid w:val="002B131A"/>
    <w:rsid w:val="003158E1"/>
    <w:rsid w:val="003331A8"/>
    <w:rsid w:val="00487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3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3158E1"/>
    <w:rPr>
      <w:rFonts w:ascii="Georgia-Bold" w:hAnsi="Georgia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3158E1"/>
    <w:rPr>
      <w:rFonts w:ascii="Georgia" w:hAnsi="Georgia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kingsley</dc:creator>
  <cp:lastModifiedBy>Dr. kingsley</cp:lastModifiedBy>
  <cp:revision>2</cp:revision>
  <dcterms:created xsi:type="dcterms:W3CDTF">2019-10-01T13:51:00Z</dcterms:created>
  <dcterms:modified xsi:type="dcterms:W3CDTF">2019-10-01T13:53:00Z</dcterms:modified>
</cp:coreProperties>
</file>