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099" w:rsidRPr="00E138C0" w:rsidRDefault="00CD2099" w:rsidP="00CD2099">
      <w:pPr>
        <w:pStyle w:val="BodyText"/>
        <w:spacing w:before="73" w:line="198" w:lineRule="exact"/>
        <w:ind w:right="5987"/>
        <w:rPr>
          <w:rFonts w:asciiTheme="minorHAnsi" w:eastAsia="Minion Pro" w:hAnsiTheme="minorHAnsi" w:cs="Minion Pro"/>
          <w:b/>
          <w:bCs/>
          <w:color w:val="337AB7"/>
          <w:sz w:val="24"/>
          <w:szCs w:val="24"/>
        </w:rPr>
      </w:pPr>
      <w:r w:rsidRPr="00E138C0">
        <w:rPr>
          <w:rFonts w:asciiTheme="minorHAnsi" w:eastAsia="Minion Pro" w:hAnsiTheme="minorHAnsi" w:cs="Minion Pro"/>
          <w:b/>
          <w:bCs/>
          <w:color w:val="337AB7"/>
          <w:sz w:val="24"/>
          <w:szCs w:val="24"/>
        </w:rPr>
        <w:t xml:space="preserve">Preoperative </w:t>
      </w:r>
      <w:proofErr w:type="spellStart"/>
      <w:r w:rsidRPr="00E138C0">
        <w:rPr>
          <w:rFonts w:asciiTheme="minorHAnsi" w:eastAsia="Minion Pro" w:hAnsiTheme="minorHAnsi" w:cs="Minion Pro"/>
          <w:b/>
          <w:bCs/>
          <w:color w:val="337AB7"/>
          <w:sz w:val="24"/>
          <w:szCs w:val="24"/>
        </w:rPr>
        <w:t>Haemoglobin</w:t>
      </w:r>
      <w:proofErr w:type="spellEnd"/>
      <w:r w:rsidRPr="00E138C0">
        <w:rPr>
          <w:rFonts w:asciiTheme="minorHAnsi" w:eastAsia="Minion Pro" w:hAnsiTheme="minorHAnsi" w:cs="Minion Pro"/>
          <w:b/>
          <w:bCs/>
          <w:color w:val="337AB7"/>
          <w:sz w:val="24"/>
          <w:szCs w:val="24"/>
        </w:rPr>
        <w:t xml:space="preserve"> Assessment and </w:t>
      </w:r>
      <w:r w:rsidR="00E138C0" w:rsidRPr="00E138C0">
        <w:rPr>
          <w:rFonts w:asciiTheme="minorHAnsi" w:eastAsia="Minion Pro" w:hAnsiTheme="minorHAnsi" w:cs="Minion Pro"/>
          <w:b/>
          <w:bCs/>
          <w:color w:val="337AB7"/>
          <w:sz w:val="24"/>
          <w:szCs w:val="24"/>
        </w:rPr>
        <w:t xml:space="preserve">Optimization </w:t>
      </w:r>
      <w:r w:rsidRPr="00E138C0">
        <w:rPr>
          <w:rFonts w:asciiTheme="minorHAnsi" w:eastAsia="Minion Pro" w:hAnsiTheme="minorHAnsi" w:cs="Minion Pro"/>
          <w:b/>
          <w:bCs/>
          <w:color w:val="337AB7"/>
          <w:sz w:val="24"/>
          <w:szCs w:val="24"/>
        </w:rPr>
        <w:t>Pathway at the Mater Hospital</w:t>
      </w:r>
      <w:r w:rsidR="00E138C0" w:rsidRPr="00E138C0">
        <w:rPr>
          <w:rFonts w:asciiTheme="minorHAnsi" w:eastAsia="Minion Pro" w:hAnsiTheme="minorHAnsi" w:cs="Minion Pro"/>
          <w:b/>
          <w:bCs/>
          <w:color w:val="337AB7"/>
          <w:sz w:val="24"/>
          <w:szCs w:val="24"/>
        </w:rPr>
        <w:t xml:space="preserve"> </w:t>
      </w:r>
      <w:r w:rsidRPr="00E138C0">
        <w:rPr>
          <w:rFonts w:asciiTheme="minorHAnsi" w:eastAsia="Minion Pro" w:hAnsiTheme="minorHAnsi" w:cs="Minion Pro"/>
          <w:b/>
          <w:bCs/>
          <w:color w:val="337AB7"/>
          <w:sz w:val="24"/>
          <w:szCs w:val="24"/>
        </w:rPr>
        <w:t>Brisbane</w:t>
      </w:r>
    </w:p>
    <w:p w:rsidR="0078738A" w:rsidRPr="00E138C0" w:rsidRDefault="0078738A" w:rsidP="00CD2099">
      <w:pPr>
        <w:pStyle w:val="BodyText"/>
        <w:spacing w:before="73" w:line="198" w:lineRule="exact"/>
        <w:ind w:left="100" w:right="5987"/>
        <w:rPr>
          <w:rFonts w:asciiTheme="minorHAnsi" w:hAnsiTheme="minorHAnsi"/>
        </w:rPr>
      </w:pPr>
      <w:proofErr w:type="spellStart"/>
      <w:r w:rsidRPr="00E138C0">
        <w:rPr>
          <w:rFonts w:asciiTheme="minorHAnsi" w:hAnsiTheme="minorHAnsi"/>
        </w:rPr>
        <w:t>Dr</w:t>
      </w:r>
      <w:proofErr w:type="spellEnd"/>
      <w:r w:rsidRPr="00E138C0">
        <w:rPr>
          <w:rFonts w:asciiTheme="minorHAnsi" w:hAnsiTheme="minorHAnsi"/>
        </w:rPr>
        <w:t xml:space="preserve"> </w:t>
      </w:r>
      <w:r w:rsidR="00CD2099" w:rsidRPr="00E138C0">
        <w:rPr>
          <w:rFonts w:asciiTheme="minorHAnsi" w:hAnsiTheme="minorHAnsi"/>
        </w:rPr>
        <w:t>Gus Go (FRACP</w:t>
      </w:r>
      <w:proofErr w:type="gramStart"/>
      <w:r w:rsidR="00CD2099" w:rsidRPr="00E138C0">
        <w:rPr>
          <w:rFonts w:asciiTheme="minorHAnsi" w:hAnsiTheme="minorHAnsi"/>
        </w:rPr>
        <w:t>)</w:t>
      </w:r>
      <w:r w:rsidR="00CD2099" w:rsidRPr="00E138C0">
        <w:rPr>
          <w:rFonts w:asciiTheme="minorHAnsi" w:hAnsiTheme="minorHAnsi"/>
          <w:vertAlign w:val="superscript"/>
        </w:rPr>
        <w:t>1</w:t>
      </w:r>
      <w:proofErr w:type="gramEnd"/>
    </w:p>
    <w:p w:rsidR="005973B9" w:rsidRPr="00E138C0" w:rsidRDefault="00CD2099" w:rsidP="005973B9">
      <w:pPr>
        <w:pStyle w:val="BodyText"/>
        <w:spacing w:before="73" w:line="198" w:lineRule="exact"/>
        <w:ind w:left="100" w:right="5987"/>
        <w:rPr>
          <w:rFonts w:asciiTheme="minorHAnsi" w:hAnsiTheme="minorHAnsi"/>
        </w:rPr>
      </w:pPr>
      <w:proofErr w:type="spellStart"/>
      <w:r w:rsidRPr="00E138C0">
        <w:rPr>
          <w:rFonts w:asciiTheme="minorHAnsi" w:hAnsiTheme="minorHAnsi"/>
        </w:rPr>
        <w:t>Dr</w:t>
      </w:r>
      <w:proofErr w:type="spellEnd"/>
      <w:r w:rsidRPr="00E138C0">
        <w:rPr>
          <w:rFonts w:asciiTheme="minorHAnsi" w:hAnsiTheme="minorHAnsi"/>
        </w:rPr>
        <w:t xml:space="preserve"> Cara O’Callaghan (FRACP</w:t>
      </w:r>
      <w:proofErr w:type="gramStart"/>
      <w:r w:rsidRPr="00E138C0">
        <w:rPr>
          <w:rFonts w:asciiTheme="minorHAnsi" w:hAnsiTheme="minorHAnsi"/>
        </w:rPr>
        <w:t>)</w:t>
      </w:r>
      <w:r w:rsidRPr="00E138C0">
        <w:rPr>
          <w:rFonts w:asciiTheme="minorHAnsi" w:hAnsiTheme="minorHAnsi"/>
          <w:vertAlign w:val="superscript"/>
        </w:rPr>
        <w:t>2</w:t>
      </w:r>
      <w:proofErr w:type="gramEnd"/>
    </w:p>
    <w:p w:rsidR="00CD2099" w:rsidRPr="00E138C0" w:rsidRDefault="00CD2099" w:rsidP="005973B9">
      <w:pPr>
        <w:pStyle w:val="BodyText"/>
        <w:spacing w:before="73" w:line="198" w:lineRule="exact"/>
        <w:ind w:left="100" w:right="5987"/>
        <w:rPr>
          <w:rFonts w:asciiTheme="minorHAnsi" w:hAnsiTheme="minorHAnsi"/>
        </w:rPr>
      </w:pPr>
      <w:proofErr w:type="spellStart"/>
      <w:r w:rsidRPr="00E138C0">
        <w:rPr>
          <w:rFonts w:asciiTheme="minorHAnsi" w:hAnsiTheme="minorHAnsi"/>
        </w:rPr>
        <w:t>Dr</w:t>
      </w:r>
      <w:proofErr w:type="spellEnd"/>
      <w:r w:rsidRPr="00E138C0">
        <w:rPr>
          <w:rFonts w:asciiTheme="minorHAnsi" w:hAnsiTheme="minorHAnsi"/>
        </w:rPr>
        <w:t xml:space="preserve"> Narelle Fagermo (FRACP</w:t>
      </w:r>
      <w:proofErr w:type="gramStart"/>
      <w:r w:rsidRPr="00E138C0">
        <w:rPr>
          <w:rFonts w:asciiTheme="minorHAnsi" w:hAnsiTheme="minorHAnsi"/>
        </w:rPr>
        <w:t>)</w:t>
      </w:r>
      <w:r w:rsidRPr="00E138C0">
        <w:rPr>
          <w:rFonts w:asciiTheme="minorHAnsi" w:hAnsiTheme="minorHAnsi"/>
          <w:vertAlign w:val="superscript"/>
        </w:rPr>
        <w:t>3</w:t>
      </w:r>
      <w:proofErr w:type="gramEnd"/>
    </w:p>
    <w:p w:rsidR="00AE3E37" w:rsidRPr="00E138C0" w:rsidRDefault="00CD2099" w:rsidP="00CD2099">
      <w:pPr>
        <w:pStyle w:val="BodyText"/>
        <w:spacing w:before="73" w:line="198" w:lineRule="exact"/>
        <w:ind w:left="100" w:right="5987"/>
        <w:rPr>
          <w:rFonts w:asciiTheme="minorHAnsi" w:hAnsiTheme="minorHAnsi"/>
        </w:rPr>
      </w:pPr>
      <w:proofErr w:type="spellStart"/>
      <w:r w:rsidRPr="00E138C0">
        <w:rPr>
          <w:rFonts w:asciiTheme="minorHAnsi" w:hAnsiTheme="minorHAnsi"/>
        </w:rPr>
        <w:t>Dr</w:t>
      </w:r>
      <w:proofErr w:type="spellEnd"/>
      <w:r w:rsidRPr="00E138C0">
        <w:rPr>
          <w:rFonts w:asciiTheme="minorHAnsi" w:hAnsiTheme="minorHAnsi"/>
        </w:rPr>
        <w:t xml:space="preserve"> Naadir Gutta (FRACP</w:t>
      </w:r>
      <w:proofErr w:type="gramStart"/>
      <w:r w:rsidRPr="00E138C0">
        <w:rPr>
          <w:rFonts w:asciiTheme="minorHAnsi" w:hAnsiTheme="minorHAnsi"/>
        </w:rPr>
        <w:t>)</w:t>
      </w:r>
      <w:r w:rsidRPr="00E138C0">
        <w:rPr>
          <w:rFonts w:asciiTheme="minorHAnsi" w:hAnsiTheme="minorHAnsi"/>
          <w:vertAlign w:val="superscript"/>
        </w:rPr>
        <w:t>4</w:t>
      </w:r>
      <w:proofErr w:type="gramEnd"/>
    </w:p>
    <w:p w:rsidR="00CD2099" w:rsidRPr="00E138C0" w:rsidRDefault="00CD2099" w:rsidP="00CD2099">
      <w:pPr>
        <w:pStyle w:val="BodyText"/>
        <w:spacing w:before="73" w:line="198" w:lineRule="exact"/>
        <w:ind w:left="100" w:right="5987"/>
        <w:rPr>
          <w:rFonts w:asciiTheme="minorHAnsi" w:hAnsiTheme="minorHAnsi"/>
        </w:rPr>
      </w:pPr>
      <w:r w:rsidRPr="00E138C0">
        <w:rPr>
          <w:rFonts w:asciiTheme="minorHAnsi" w:hAnsiTheme="minorHAnsi"/>
          <w:vertAlign w:val="superscript"/>
        </w:rPr>
        <w:t>1</w:t>
      </w:r>
      <w:proofErr w:type="gramStart"/>
      <w:r w:rsidRPr="00E138C0">
        <w:rPr>
          <w:rFonts w:asciiTheme="minorHAnsi" w:hAnsiTheme="minorHAnsi"/>
          <w:vertAlign w:val="superscript"/>
        </w:rPr>
        <w:t>,2,3</w:t>
      </w:r>
      <w:proofErr w:type="gramEnd"/>
      <w:r w:rsidRPr="00E138C0">
        <w:rPr>
          <w:rFonts w:asciiTheme="minorHAnsi" w:hAnsiTheme="minorHAnsi"/>
        </w:rPr>
        <w:t xml:space="preserve"> Department of General Medicine, Mater Hospital Brisbane, Australia.</w:t>
      </w:r>
    </w:p>
    <w:p w:rsidR="00CD2099" w:rsidRPr="00E138C0" w:rsidRDefault="00CD2099" w:rsidP="00CD2099">
      <w:pPr>
        <w:pStyle w:val="BodyText"/>
        <w:spacing w:before="73" w:line="198" w:lineRule="exact"/>
        <w:ind w:left="100" w:right="5987"/>
        <w:rPr>
          <w:rFonts w:asciiTheme="minorHAnsi" w:hAnsiTheme="minorHAnsi"/>
        </w:rPr>
      </w:pPr>
      <w:r w:rsidRPr="00E138C0">
        <w:rPr>
          <w:rFonts w:asciiTheme="minorHAnsi" w:hAnsiTheme="minorHAnsi"/>
          <w:vertAlign w:val="superscript"/>
        </w:rPr>
        <w:t>4</w:t>
      </w:r>
      <w:r w:rsidRPr="00E138C0">
        <w:rPr>
          <w:rFonts w:asciiTheme="minorHAnsi" w:hAnsiTheme="minorHAnsi"/>
        </w:rPr>
        <w:t xml:space="preserve"> Department of Hematology, Mater Hospital Brisbane, Australia.</w:t>
      </w:r>
    </w:p>
    <w:p w:rsidR="00AE3E37" w:rsidRPr="00E138C0" w:rsidRDefault="00AE3E37">
      <w:pPr>
        <w:pStyle w:val="BodyText"/>
        <w:spacing w:before="3"/>
        <w:rPr>
          <w:rFonts w:asciiTheme="minorHAnsi" w:hAnsiTheme="minorHAnsi"/>
        </w:rPr>
      </w:pPr>
    </w:p>
    <w:p w:rsidR="00AE3E37" w:rsidRPr="00E138C0" w:rsidRDefault="00AE3E37">
      <w:pPr>
        <w:rPr>
          <w:rFonts w:asciiTheme="minorHAnsi" w:hAnsiTheme="minorHAnsi"/>
          <w:sz w:val="18"/>
          <w:szCs w:val="18"/>
        </w:rPr>
        <w:sectPr w:rsidR="00AE3E37" w:rsidRPr="00E138C0">
          <w:headerReference w:type="default" r:id="rId8"/>
          <w:footerReference w:type="default" r:id="rId9"/>
          <w:type w:val="continuous"/>
          <w:pgSz w:w="11910" w:h="16840"/>
          <w:pgMar w:top="1740" w:right="600" w:bottom="840" w:left="620" w:header="541" w:footer="642" w:gutter="0"/>
          <w:cols w:space="720"/>
        </w:sectPr>
      </w:pPr>
    </w:p>
    <w:p w:rsidR="00AE3E37" w:rsidRPr="00E138C0" w:rsidRDefault="00A9710C">
      <w:pPr>
        <w:pStyle w:val="Heading3"/>
        <w:spacing w:before="147"/>
        <w:jc w:val="both"/>
        <w:rPr>
          <w:rFonts w:asciiTheme="minorHAnsi" w:hAnsiTheme="minorHAnsi"/>
          <w:sz w:val="18"/>
          <w:szCs w:val="18"/>
        </w:rPr>
      </w:pPr>
      <w:r w:rsidRPr="00E138C0">
        <w:rPr>
          <w:rFonts w:asciiTheme="minorHAnsi" w:hAnsiTheme="minorHAnsi"/>
          <w:color w:val="BF5A14"/>
          <w:sz w:val="18"/>
          <w:szCs w:val="18"/>
        </w:rPr>
        <w:lastRenderedPageBreak/>
        <w:t>Abstract</w:t>
      </w:r>
      <w:r w:rsidR="00404E5B" w:rsidRPr="00E138C0">
        <w:rPr>
          <w:rFonts w:asciiTheme="minorHAnsi" w:hAnsiTheme="minorHAnsi"/>
          <w:color w:val="BF5A14"/>
          <w:sz w:val="18"/>
          <w:szCs w:val="18"/>
        </w:rPr>
        <w:t xml:space="preserve"> (300 word limit)</w:t>
      </w:r>
    </w:p>
    <w:p w:rsidR="00CD2099" w:rsidRDefault="00CD2099" w:rsidP="00E138C0">
      <w:pPr>
        <w:pStyle w:val="Heading3"/>
        <w:spacing w:before="74"/>
        <w:jc w:val="both"/>
        <w:rPr>
          <w:rFonts w:asciiTheme="minorHAnsi" w:eastAsia="Tw Cen MT" w:hAnsiTheme="minorHAnsi" w:cs="Tw Cen MT"/>
          <w:b w:val="0"/>
          <w:bCs w:val="0"/>
          <w:sz w:val="18"/>
          <w:szCs w:val="18"/>
        </w:rPr>
      </w:pPr>
      <w:r w:rsidRPr="00E138C0">
        <w:rPr>
          <w:rFonts w:asciiTheme="minorHAnsi" w:eastAsia="Tw Cen MT" w:hAnsiTheme="minorHAnsi" w:cs="Tw Cen MT"/>
          <w:b w:val="0"/>
          <w:bCs w:val="0"/>
          <w:sz w:val="18"/>
          <w:szCs w:val="18"/>
        </w:rPr>
        <w:t xml:space="preserve">Preoperative </w:t>
      </w:r>
      <w:proofErr w:type="spellStart"/>
      <w:r w:rsidRPr="00E138C0">
        <w:rPr>
          <w:rFonts w:asciiTheme="minorHAnsi" w:eastAsia="Tw Cen MT" w:hAnsiTheme="minorHAnsi" w:cs="Tw Cen MT"/>
          <w:b w:val="0"/>
          <w:bCs w:val="0"/>
          <w:sz w:val="18"/>
          <w:szCs w:val="18"/>
        </w:rPr>
        <w:t>anaemia</w:t>
      </w:r>
      <w:proofErr w:type="spellEnd"/>
      <w:r w:rsidRPr="00E138C0">
        <w:rPr>
          <w:rFonts w:asciiTheme="minorHAnsi" w:eastAsia="Tw Cen MT" w:hAnsiTheme="minorHAnsi" w:cs="Tw Cen MT"/>
          <w:b w:val="0"/>
          <w:bCs w:val="0"/>
          <w:sz w:val="18"/>
          <w:szCs w:val="18"/>
        </w:rPr>
        <w:t xml:space="preserve"> is associated with increased </w:t>
      </w:r>
      <w:r w:rsidR="001F0009">
        <w:rPr>
          <w:rFonts w:asciiTheme="minorHAnsi" w:eastAsia="Tw Cen MT" w:hAnsiTheme="minorHAnsi" w:cs="Tw Cen MT"/>
          <w:b w:val="0"/>
          <w:bCs w:val="0"/>
          <w:sz w:val="18"/>
          <w:szCs w:val="18"/>
        </w:rPr>
        <w:t>perioperative complication rate</w:t>
      </w:r>
      <w:r w:rsidRPr="00E138C0">
        <w:rPr>
          <w:rFonts w:asciiTheme="minorHAnsi" w:eastAsia="Tw Cen MT" w:hAnsiTheme="minorHAnsi" w:cs="Tw Cen MT"/>
          <w:b w:val="0"/>
          <w:bCs w:val="0"/>
          <w:sz w:val="18"/>
          <w:szCs w:val="18"/>
        </w:rPr>
        <w:t xml:space="preserve"> in patients undergoing elective surgery. Perioperative </w:t>
      </w:r>
      <w:r w:rsidR="00E138C0">
        <w:rPr>
          <w:rFonts w:asciiTheme="minorHAnsi" w:eastAsia="Tw Cen MT" w:hAnsiTheme="minorHAnsi" w:cs="Tw Cen MT"/>
          <w:b w:val="0"/>
          <w:bCs w:val="0"/>
          <w:sz w:val="18"/>
          <w:szCs w:val="18"/>
        </w:rPr>
        <w:t xml:space="preserve">blood </w:t>
      </w:r>
      <w:r w:rsidRPr="00E138C0">
        <w:rPr>
          <w:rFonts w:asciiTheme="minorHAnsi" w:eastAsia="Tw Cen MT" w:hAnsiTheme="minorHAnsi" w:cs="Tw Cen MT"/>
          <w:b w:val="0"/>
          <w:bCs w:val="0"/>
          <w:sz w:val="18"/>
          <w:szCs w:val="18"/>
        </w:rPr>
        <w:t xml:space="preserve">transfusion is associated with increased morbidity and mortality, even when as little as one unit of packed red blood cells is administered. </w:t>
      </w:r>
    </w:p>
    <w:p w:rsidR="001F0009" w:rsidRPr="00E138C0" w:rsidRDefault="001F0009" w:rsidP="00E138C0">
      <w:pPr>
        <w:pStyle w:val="Heading3"/>
        <w:spacing w:before="74"/>
        <w:jc w:val="both"/>
        <w:rPr>
          <w:rFonts w:asciiTheme="minorHAnsi" w:eastAsia="Tw Cen MT" w:hAnsiTheme="minorHAnsi" w:cs="Tw Cen MT"/>
          <w:b w:val="0"/>
          <w:bCs w:val="0"/>
          <w:sz w:val="18"/>
          <w:szCs w:val="18"/>
        </w:rPr>
      </w:pPr>
    </w:p>
    <w:p w:rsidR="00CD2099" w:rsidRDefault="00CD2099" w:rsidP="00E138C0">
      <w:pPr>
        <w:pStyle w:val="Heading3"/>
        <w:spacing w:before="74"/>
        <w:jc w:val="both"/>
        <w:rPr>
          <w:rFonts w:asciiTheme="minorHAnsi" w:eastAsia="Tw Cen MT" w:hAnsiTheme="minorHAnsi" w:cs="Tw Cen MT"/>
          <w:b w:val="0"/>
          <w:bCs w:val="0"/>
          <w:sz w:val="18"/>
          <w:szCs w:val="18"/>
        </w:rPr>
      </w:pPr>
      <w:r w:rsidRPr="00E138C0">
        <w:rPr>
          <w:rFonts w:asciiTheme="minorHAnsi" w:eastAsia="Tw Cen MT" w:hAnsiTheme="minorHAnsi" w:cs="Tw Cen MT"/>
          <w:b w:val="0"/>
          <w:bCs w:val="0"/>
          <w:sz w:val="18"/>
          <w:szCs w:val="18"/>
        </w:rPr>
        <w:t xml:space="preserve">Patient blood management is a </w:t>
      </w:r>
      <w:r w:rsidR="001F0009">
        <w:rPr>
          <w:rFonts w:asciiTheme="minorHAnsi" w:eastAsia="Tw Cen MT" w:hAnsiTheme="minorHAnsi" w:cs="Tw Cen MT"/>
          <w:b w:val="0"/>
          <w:bCs w:val="0"/>
          <w:sz w:val="18"/>
          <w:szCs w:val="18"/>
        </w:rPr>
        <w:t>nation</w:t>
      </w:r>
      <w:r w:rsidRPr="00E138C0">
        <w:rPr>
          <w:rFonts w:asciiTheme="minorHAnsi" w:eastAsia="Tw Cen MT" w:hAnsiTheme="minorHAnsi" w:cs="Tw Cen MT"/>
          <w:b w:val="0"/>
          <w:bCs w:val="0"/>
          <w:sz w:val="18"/>
          <w:szCs w:val="18"/>
        </w:rPr>
        <w:t>-wid</w:t>
      </w:r>
      <w:r w:rsidR="001F0009">
        <w:rPr>
          <w:rFonts w:asciiTheme="minorHAnsi" w:eastAsia="Tw Cen MT" w:hAnsiTheme="minorHAnsi" w:cs="Tw Cen MT"/>
          <w:b w:val="0"/>
          <w:bCs w:val="0"/>
          <w:sz w:val="18"/>
          <w:szCs w:val="18"/>
        </w:rPr>
        <w:t>e hospital standard requirement. O</w:t>
      </w:r>
      <w:r w:rsidRPr="00E138C0">
        <w:rPr>
          <w:rFonts w:asciiTheme="minorHAnsi" w:eastAsia="Tw Cen MT" w:hAnsiTheme="minorHAnsi" w:cs="Tw Cen MT"/>
          <w:b w:val="0"/>
          <w:bCs w:val="0"/>
          <w:sz w:val="18"/>
          <w:szCs w:val="18"/>
        </w:rPr>
        <w:t xml:space="preserve">ur hospital </w:t>
      </w:r>
      <w:r w:rsidR="001F0009">
        <w:rPr>
          <w:rFonts w:asciiTheme="minorHAnsi" w:eastAsia="Tw Cen MT" w:hAnsiTheme="minorHAnsi" w:cs="Tw Cen MT"/>
          <w:b w:val="0"/>
          <w:bCs w:val="0"/>
          <w:sz w:val="18"/>
          <w:szCs w:val="18"/>
        </w:rPr>
        <w:t xml:space="preserve">has </w:t>
      </w:r>
      <w:r w:rsidRPr="00E138C0">
        <w:rPr>
          <w:rFonts w:asciiTheme="minorHAnsi" w:eastAsia="Tw Cen MT" w:hAnsiTheme="minorHAnsi" w:cs="Tw Cen MT"/>
          <w:b w:val="0"/>
          <w:bCs w:val="0"/>
          <w:sz w:val="18"/>
          <w:szCs w:val="18"/>
        </w:rPr>
        <w:t>devise</w:t>
      </w:r>
      <w:r w:rsidR="001F0009">
        <w:rPr>
          <w:rFonts w:asciiTheme="minorHAnsi" w:eastAsia="Tw Cen MT" w:hAnsiTheme="minorHAnsi" w:cs="Tw Cen MT"/>
          <w:b w:val="0"/>
          <w:bCs w:val="0"/>
          <w:sz w:val="18"/>
          <w:szCs w:val="18"/>
        </w:rPr>
        <w:t>d</w:t>
      </w:r>
      <w:r w:rsidRPr="00E138C0">
        <w:rPr>
          <w:rFonts w:asciiTheme="minorHAnsi" w:eastAsia="Tw Cen MT" w:hAnsiTheme="minorHAnsi" w:cs="Tw Cen MT"/>
          <w:b w:val="0"/>
          <w:bCs w:val="0"/>
          <w:sz w:val="18"/>
          <w:szCs w:val="18"/>
        </w:rPr>
        <w:t xml:space="preserve"> a management pathway to reduce </w:t>
      </w:r>
      <w:r w:rsidR="00E138C0" w:rsidRPr="00E138C0">
        <w:rPr>
          <w:rFonts w:asciiTheme="minorHAnsi" w:eastAsia="Tw Cen MT" w:hAnsiTheme="minorHAnsi" w:cs="Tw Cen MT"/>
          <w:b w:val="0"/>
          <w:bCs w:val="0"/>
          <w:sz w:val="18"/>
          <w:szCs w:val="18"/>
        </w:rPr>
        <w:t>post-operative</w:t>
      </w:r>
      <w:r w:rsidRPr="00E138C0">
        <w:rPr>
          <w:rFonts w:asciiTheme="minorHAnsi" w:eastAsia="Tw Cen MT" w:hAnsiTheme="minorHAnsi" w:cs="Tw Cen MT"/>
          <w:b w:val="0"/>
          <w:bCs w:val="0"/>
          <w:sz w:val="18"/>
          <w:szCs w:val="18"/>
        </w:rPr>
        <w:t xml:space="preserve"> blood produce replacement</w:t>
      </w:r>
      <w:r w:rsidR="001F0009">
        <w:rPr>
          <w:rFonts w:asciiTheme="minorHAnsi" w:eastAsia="Tw Cen MT" w:hAnsiTheme="minorHAnsi" w:cs="Tw Cen MT"/>
          <w:b w:val="0"/>
          <w:bCs w:val="0"/>
          <w:sz w:val="18"/>
          <w:szCs w:val="18"/>
        </w:rPr>
        <w:t xml:space="preserve">. </w:t>
      </w:r>
      <w:r w:rsidRPr="00E138C0">
        <w:rPr>
          <w:rFonts w:asciiTheme="minorHAnsi" w:eastAsia="Tw Cen MT" w:hAnsiTheme="minorHAnsi" w:cs="Tw Cen MT"/>
          <w:b w:val="0"/>
          <w:bCs w:val="0"/>
          <w:sz w:val="18"/>
          <w:szCs w:val="18"/>
        </w:rPr>
        <w:t xml:space="preserve">The pathway </w:t>
      </w:r>
      <w:r w:rsidR="001F0009">
        <w:rPr>
          <w:rFonts w:asciiTheme="minorHAnsi" w:eastAsia="Tw Cen MT" w:hAnsiTheme="minorHAnsi" w:cs="Tw Cen MT"/>
          <w:b w:val="0"/>
          <w:bCs w:val="0"/>
          <w:sz w:val="18"/>
          <w:szCs w:val="18"/>
        </w:rPr>
        <w:t xml:space="preserve">was created </w:t>
      </w:r>
      <w:r w:rsidRPr="00E138C0">
        <w:rPr>
          <w:rFonts w:asciiTheme="minorHAnsi" w:eastAsia="Tw Cen MT" w:hAnsiTheme="minorHAnsi" w:cs="Tw Cen MT"/>
          <w:b w:val="0"/>
          <w:bCs w:val="0"/>
          <w:sz w:val="18"/>
          <w:szCs w:val="18"/>
        </w:rPr>
        <w:t>to streamline iron replacement therapy in our hospital.</w:t>
      </w:r>
    </w:p>
    <w:p w:rsidR="001F0009" w:rsidRPr="00E138C0" w:rsidRDefault="001F0009" w:rsidP="00E138C0">
      <w:pPr>
        <w:pStyle w:val="Heading3"/>
        <w:spacing w:before="74"/>
        <w:jc w:val="both"/>
        <w:rPr>
          <w:rFonts w:asciiTheme="minorHAnsi" w:eastAsia="Tw Cen MT" w:hAnsiTheme="minorHAnsi" w:cs="Tw Cen MT"/>
          <w:b w:val="0"/>
          <w:bCs w:val="0"/>
          <w:sz w:val="18"/>
          <w:szCs w:val="18"/>
        </w:rPr>
      </w:pPr>
    </w:p>
    <w:p w:rsidR="00CD2099" w:rsidRDefault="00CD2099" w:rsidP="00E138C0">
      <w:pPr>
        <w:pStyle w:val="Heading3"/>
        <w:spacing w:before="74"/>
        <w:jc w:val="both"/>
        <w:rPr>
          <w:rFonts w:asciiTheme="minorHAnsi" w:hAnsiTheme="minorHAnsi"/>
          <w:b w:val="0"/>
          <w:sz w:val="18"/>
          <w:szCs w:val="18"/>
        </w:rPr>
      </w:pPr>
      <w:r w:rsidRPr="00E138C0">
        <w:rPr>
          <w:rFonts w:asciiTheme="minorHAnsi" w:hAnsiTheme="minorHAnsi"/>
          <w:b w:val="0"/>
          <w:sz w:val="18"/>
          <w:szCs w:val="18"/>
        </w:rPr>
        <w:t xml:space="preserve">The current pathway has been part of our hospital policy since 2018 and currently we are performing clinical audit to look at the rate of </w:t>
      </w:r>
      <w:r w:rsidR="00E138C0" w:rsidRPr="00E138C0">
        <w:rPr>
          <w:rFonts w:asciiTheme="minorHAnsi" w:hAnsiTheme="minorHAnsi"/>
          <w:b w:val="0"/>
          <w:sz w:val="18"/>
          <w:szCs w:val="18"/>
        </w:rPr>
        <w:t>post-operative</w:t>
      </w:r>
      <w:r w:rsidRPr="00E138C0">
        <w:rPr>
          <w:rFonts w:asciiTheme="minorHAnsi" w:hAnsiTheme="minorHAnsi"/>
          <w:b w:val="0"/>
          <w:sz w:val="18"/>
          <w:szCs w:val="18"/>
        </w:rPr>
        <w:t xml:space="preserve"> blood transfusion and the associated transfusion complication before and after the pathway has been in effect. </w:t>
      </w:r>
    </w:p>
    <w:p w:rsidR="001F0009" w:rsidRPr="00E138C0" w:rsidRDefault="001F0009" w:rsidP="00E138C0">
      <w:pPr>
        <w:pStyle w:val="Heading3"/>
        <w:spacing w:before="74"/>
        <w:jc w:val="both"/>
        <w:rPr>
          <w:rFonts w:asciiTheme="minorHAnsi" w:eastAsia="Tw Cen MT" w:hAnsiTheme="minorHAnsi" w:cs="Tw Cen MT"/>
          <w:b w:val="0"/>
          <w:bCs w:val="0"/>
          <w:sz w:val="18"/>
          <w:szCs w:val="18"/>
        </w:rPr>
      </w:pPr>
    </w:p>
    <w:p w:rsidR="00E138C0" w:rsidRDefault="00CD2099" w:rsidP="00E138C0">
      <w:pPr>
        <w:pStyle w:val="Heading3"/>
        <w:spacing w:before="74"/>
        <w:jc w:val="both"/>
        <w:rPr>
          <w:rFonts w:asciiTheme="minorHAnsi" w:hAnsiTheme="minorHAnsi"/>
          <w:b w:val="0"/>
          <w:sz w:val="18"/>
          <w:szCs w:val="18"/>
        </w:rPr>
      </w:pPr>
      <w:r w:rsidRPr="00E138C0">
        <w:rPr>
          <w:rFonts w:asciiTheme="minorHAnsi" w:hAnsiTheme="minorHAnsi"/>
          <w:b w:val="0"/>
          <w:sz w:val="18"/>
          <w:szCs w:val="18"/>
        </w:rPr>
        <w:t>Also as part of state-wide hospital standard requirement of blood management, we formed a working party in perioperative blood management to ensure we comply with the required national standard by ensuring all our surgical patient are fully optimized prior to their elective surgery.</w:t>
      </w:r>
    </w:p>
    <w:p w:rsidR="001F0009" w:rsidRPr="00E138C0" w:rsidRDefault="001F0009" w:rsidP="00E138C0">
      <w:pPr>
        <w:pStyle w:val="Heading3"/>
        <w:spacing w:before="74"/>
        <w:jc w:val="both"/>
        <w:rPr>
          <w:rFonts w:asciiTheme="minorHAnsi" w:hAnsiTheme="minorHAnsi"/>
          <w:b w:val="0"/>
          <w:sz w:val="18"/>
          <w:szCs w:val="18"/>
        </w:rPr>
      </w:pPr>
    </w:p>
    <w:p w:rsidR="00AE3E37" w:rsidRPr="00E138C0" w:rsidRDefault="00E138C0" w:rsidP="00E138C0">
      <w:pPr>
        <w:pStyle w:val="Heading3"/>
        <w:spacing w:before="74"/>
        <w:jc w:val="both"/>
        <w:rPr>
          <w:rFonts w:asciiTheme="minorHAnsi" w:hAnsiTheme="minorHAnsi"/>
          <w:b w:val="0"/>
          <w:sz w:val="18"/>
          <w:szCs w:val="18"/>
        </w:rPr>
      </w:pPr>
      <w:r>
        <w:rPr>
          <w:rFonts w:asciiTheme="minorHAnsi" w:hAnsiTheme="minorHAnsi"/>
          <w:b w:val="0"/>
          <w:sz w:val="18"/>
          <w:szCs w:val="18"/>
        </w:rPr>
        <w:t>In con</w:t>
      </w:r>
      <w:bookmarkStart w:id="0" w:name="_GoBack"/>
      <w:bookmarkEnd w:id="0"/>
      <w:r>
        <w:rPr>
          <w:rFonts w:asciiTheme="minorHAnsi" w:hAnsiTheme="minorHAnsi"/>
          <w:b w:val="0"/>
          <w:sz w:val="18"/>
          <w:szCs w:val="18"/>
        </w:rPr>
        <w:t>clusion, we</w:t>
      </w:r>
      <w:r w:rsidRPr="00E138C0">
        <w:rPr>
          <w:rFonts w:asciiTheme="minorHAnsi" w:hAnsiTheme="minorHAnsi"/>
          <w:b w:val="0"/>
          <w:sz w:val="18"/>
          <w:szCs w:val="18"/>
        </w:rPr>
        <w:t xml:space="preserve"> have devised a preoperative </w:t>
      </w:r>
      <w:proofErr w:type="spellStart"/>
      <w:r w:rsidRPr="00E138C0">
        <w:rPr>
          <w:rFonts w:asciiTheme="minorHAnsi" w:hAnsiTheme="minorHAnsi"/>
          <w:b w:val="0"/>
          <w:sz w:val="18"/>
          <w:szCs w:val="18"/>
        </w:rPr>
        <w:t>haemoglobin</w:t>
      </w:r>
      <w:proofErr w:type="spellEnd"/>
      <w:r w:rsidRPr="00E138C0">
        <w:rPr>
          <w:rFonts w:asciiTheme="minorHAnsi" w:hAnsiTheme="minorHAnsi"/>
          <w:b w:val="0"/>
          <w:sz w:val="18"/>
          <w:szCs w:val="18"/>
        </w:rPr>
        <w:t xml:space="preserve"> assessment and optimization pathway which will require ongoing audit to ensure compliance with national blood management standard. </w:t>
      </w:r>
      <w:r w:rsidR="00A9710C" w:rsidRPr="00E138C0">
        <w:rPr>
          <w:rFonts w:asciiTheme="minorHAnsi" w:hAnsiTheme="minorHAnsi"/>
          <w:b w:val="0"/>
          <w:sz w:val="18"/>
          <w:szCs w:val="18"/>
        </w:rPr>
        <w:br w:type="column"/>
      </w:r>
      <w:r w:rsidR="00A9710C" w:rsidRPr="00E138C0">
        <w:rPr>
          <w:rFonts w:asciiTheme="minorHAnsi" w:hAnsiTheme="minorHAnsi"/>
          <w:color w:val="BF5A14"/>
          <w:sz w:val="18"/>
          <w:szCs w:val="18"/>
        </w:rPr>
        <w:lastRenderedPageBreak/>
        <w:t>Image</w:t>
      </w:r>
    </w:p>
    <w:p w:rsidR="00AE3E37" w:rsidRPr="00E138C0" w:rsidRDefault="00E138C0">
      <w:pPr>
        <w:pStyle w:val="BodyText"/>
        <w:spacing w:before="2"/>
        <w:rPr>
          <w:rFonts w:asciiTheme="minorHAnsi" w:hAnsiTheme="minorHAnsi"/>
          <w:b/>
        </w:rPr>
      </w:pPr>
      <w:r w:rsidRPr="00E138C0">
        <w:rPr>
          <w:rFonts w:asciiTheme="minorHAnsi" w:hAnsiTheme="minorHAnsi"/>
          <w:b/>
          <w:lang w:val="en-AU"/>
        </w:rPr>
        <w:drawing>
          <wp:inline distT="0" distB="0" distL="0" distR="0" wp14:anchorId="6C87D0F2" wp14:editId="3167C1D6">
            <wp:extent cx="3165475" cy="2150948"/>
            <wp:effectExtent l="0" t="0" r="0" b="190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150948"/>
                    </a:xfrm>
                    <a:prstGeom prst="rect">
                      <a:avLst/>
                    </a:prstGeom>
                    <a:noFill/>
                    <a:ln>
                      <a:noFill/>
                    </a:ln>
                    <a:effectLst/>
                    <a:extLst/>
                  </pic:spPr>
                </pic:pic>
              </a:graphicData>
            </a:graphic>
          </wp:inline>
        </w:drawing>
      </w:r>
    </w:p>
    <w:p w:rsidR="005973B9" w:rsidRPr="00E138C0" w:rsidRDefault="005973B9" w:rsidP="005973B9">
      <w:pPr>
        <w:spacing w:line="204" w:lineRule="exact"/>
        <w:rPr>
          <w:rFonts w:asciiTheme="minorHAnsi" w:hAnsiTheme="minorHAnsi"/>
          <w:b/>
          <w:sz w:val="18"/>
          <w:szCs w:val="18"/>
        </w:rPr>
      </w:pPr>
      <w:r w:rsidRPr="00E138C0">
        <w:rPr>
          <w:rFonts w:asciiTheme="minorHAnsi" w:hAnsiTheme="minorHAnsi"/>
          <w:b/>
          <w:color w:val="BF5A14"/>
          <w:sz w:val="18"/>
          <w:szCs w:val="18"/>
        </w:rPr>
        <w:br/>
        <w:t>Recent Publications (minimum 5)</w:t>
      </w:r>
    </w:p>
    <w:p w:rsidR="00000000" w:rsidRPr="00E138C0" w:rsidRDefault="001F0009" w:rsidP="00E138C0">
      <w:pPr>
        <w:numPr>
          <w:ilvl w:val="0"/>
          <w:numId w:val="4"/>
        </w:numPr>
        <w:tabs>
          <w:tab w:val="left" w:pos="384"/>
        </w:tabs>
        <w:ind w:right="117"/>
        <w:rPr>
          <w:rFonts w:asciiTheme="minorHAnsi" w:eastAsia="Calibri" w:hAnsiTheme="minorHAnsi" w:cs="Calibri"/>
          <w:sz w:val="18"/>
          <w:szCs w:val="18"/>
          <w:lang w:val="en-AU"/>
        </w:rPr>
      </w:pPr>
      <w:r w:rsidRPr="00E138C0">
        <w:rPr>
          <w:rFonts w:asciiTheme="minorHAnsi" w:eastAsia="Calibri" w:hAnsiTheme="minorHAnsi" w:cs="Calibri"/>
          <w:sz w:val="18"/>
          <w:szCs w:val="18"/>
          <w:lang w:val="en-AU"/>
        </w:rPr>
        <w:t xml:space="preserve">MIMS Australian Handbook of </w:t>
      </w:r>
      <w:proofErr w:type="spellStart"/>
      <w:r w:rsidRPr="00E138C0">
        <w:rPr>
          <w:rFonts w:asciiTheme="minorHAnsi" w:eastAsia="Calibri" w:hAnsiTheme="minorHAnsi" w:cs="Calibri"/>
          <w:sz w:val="18"/>
          <w:szCs w:val="18"/>
          <w:lang w:val="en-AU"/>
        </w:rPr>
        <w:t>Inje</w:t>
      </w:r>
      <w:r w:rsidRPr="00E138C0">
        <w:rPr>
          <w:rFonts w:asciiTheme="minorHAnsi" w:eastAsia="Calibri" w:hAnsiTheme="minorHAnsi" w:cs="Calibri"/>
          <w:sz w:val="18"/>
          <w:szCs w:val="18"/>
          <w:lang w:val="en-AU"/>
        </w:rPr>
        <w:t>ctables</w:t>
      </w:r>
      <w:proofErr w:type="spellEnd"/>
      <w:r w:rsidRPr="00E138C0">
        <w:rPr>
          <w:rFonts w:asciiTheme="minorHAnsi" w:eastAsia="Calibri" w:hAnsiTheme="minorHAnsi" w:cs="Calibri"/>
          <w:sz w:val="18"/>
          <w:szCs w:val="18"/>
          <w:lang w:val="en-AU"/>
        </w:rPr>
        <w:t>, 2011, 5</w:t>
      </w:r>
      <w:r w:rsidRPr="00E138C0">
        <w:rPr>
          <w:rFonts w:asciiTheme="minorHAnsi" w:eastAsia="Calibri" w:hAnsiTheme="minorHAnsi" w:cs="Calibri"/>
          <w:sz w:val="18"/>
          <w:szCs w:val="18"/>
          <w:vertAlign w:val="superscript"/>
          <w:lang w:val="en-AU"/>
        </w:rPr>
        <w:t>th</w:t>
      </w:r>
      <w:r w:rsidRPr="00E138C0">
        <w:rPr>
          <w:rFonts w:asciiTheme="minorHAnsi" w:eastAsia="Calibri" w:hAnsiTheme="minorHAnsi" w:cs="Calibri"/>
          <w:sz w:val="18"/>
          <w:szCs w:val="18"/>
          <w:lang w:val="en-AU"/>
        </w:rPr>
        <w:t xml:space="preserve"> edition</w:t>
      </w:r>
    </w:p>
    <w:p w:rsidR="00000000" w:rsidRPr="00E138C0" w:rsidRDefault="001F0009" w:rsidP="00E138C0">
      <w:pPr>
        <w:numPr>
          <w:ilvl w:val="0"/>
          <w:numId w:val="4"/>
        </w:numPr>
        <w:tabs>
          <w:tab w:val="left" w:pos="384"/>
        </w:tabs>
        <w:ind w:right="117"/>
        <w:rPr>
          <w:rFonts w:asciiTheme="minorHAnsi" w:eastAsia="Calibri" w:hAnsiTheme="minorHAnsi" w:cs="Calibri"/>
          <w:sz w:val="18"/>
          <w:szCs w:val="18"/>
          <w:lang w:val="en-AU"/>
        </w:rPr>
      </w:pPr>
      <w:r w:rsidRPr="00E138C0">
        <w:rPr>
          <w:rFonts w:asciiTheme="minorHAnsi" w:eastAsia="Calibri" w:hAnsiTheme="minorHAnsi" w:cs="Calibri"/>
          <w:sz w:val="18"/>
          <w:szCs w:val="18"/>
          <w:lang w:val="en-AU"/>
        </w:rPr>
        <w:t>National Blood Authority, Pa</w:t>
      </w:r>
      <w:r w:rsidRPr="00E138C0">
        <w:rPr>
          <w:rFonts w:asciiTheme="minorHAnsi" w:eastAsia="Calibri" w:hAnsiTheme="minorHAnsi" w:cs="Calibri"/>
          <w:sz w:val="18"/>
          <w:szCs w:val="18"/>
          <w:lang w:val="en-AU"/>
        </w:rPr>
        <w:t>tient Blood Management Guidelines: Module 2 Perioperative, 2012</w:t>
      </w:r>
    </w:p>
    <w:p w:rsidR="00000000" w:rsidRDefault="001F0009" w:rsidP="00E138C0">
      <w:pPr>
        <w:numPr>
          <w:ilvl w:val="0"/>
          <w:numId w:val="4"/>
        </w:numPr>
        <w:tabs>
          <w:tab w:val="left" w:pos="384"/>
        </w:tabs>
        <w:ind w:right="117"/>
        <w:rPr>
          <w:rFonts w:asciiTheme="minorHAnsi" w:eastAsia="Calibri" w:hAnsiTheme="minorHAnsi" w:cs="Calibri"/>
          <w:sz w:val="18"/>
          <w:szCs w:val="18"/>
          <w:lang w:val="en-AU"/>
        </w:rPr>
      </w:pPr>
      <w:proofErr w:type="spellStart"/>
      <w:r w:rsidRPr="00E138C0">
        <w:rPr>
          <w:rFonts w:asciiTheme="minorHAnsi" w:eastAsia="Calibri" w:hAnsiTheme="minorHAnsi" w:cs="Calibri"/>
          <w:sz w:val="18"/>
          <w:szCs w:val="18"/>
          <w:lang w:val="en-AU"/>
        </w:rPr>
        <w:t>Pasricha</w:t>
      </w:r>
      <w:proofErr w:type="spellEnd"/>
      <w:r w:rsidRPr="00E138C0">
        <w:rPr>
          <w:rFonts w:asciiTheme="minorHAnsi" w:eastAsia="Calibri" w:hAnsiTheme="minorHAnsi" w:cs="Calibri"/>
          <w:sz w:val="18"/>
          <w:szCs w:val="18"/>
          <w:lang w:val="en-AU"/>
        </w:rPr>
        <w:t xml:space="preserve"> S, </w:t>
      </w:r>
      <w:proofErr w:type="spellStart"/>
      <w:r w:rsidRPr="00E138C0">
        <w:rPr>
          <w:rFonts w:asciiTheme="minorHAnsi" w:eastAsia="Calibri" w:hAnsiTheme="minorHAnsi" w:cs="Calibri"/>
          <w:sz w:val="18"/>
          <w:szCs w:val="18"/>
          <w:lang w:val="en-AU"/>
        </w:rPr>
        <w:t>Flecknoe</w:t>
      </w:r>
      <w:proofErr w:type="spellEnd"/>
      <w:r w:rsidRPr="00E138C0">
        <w:rPr>
          <w:rFonts w:asciiTheme="minorHAnsi" w:eastAsia="Calibri" w:hAnsiTheme="minorHAnsi" w:cs="Calibri"/>
          <w:sz w:val="18"/>
          <w:szCs w:val="18"/>
          <w:lang w:val="en-AU"/>
        </w:rPr>
        <w:t xml:space="preserve">-Brown S, Allen K et al. Diagnosis and management of iron deficiency anaemia: a clinical update. Med J </w:t>
      </w:r>
      <w:proofErr w:type="spellStart"/>
      <w:r w:rsidRPr="00E138C0">
        <w:rPr>
          <w:rFonts w:asciiTheme="minorHAnsi" w:eastAsia="Calibri" w:hAnsiTheme="minorHAnsi" w:cs="Calibri"/>
          <w:sz w:val="18"/>
          <w:szCs w:val="18"/>
          <w:lang w:val="en-AU"/>
        </w:rPr>
        <w:t>Au</w:t>
      </w:r>
      <w:r w:rsidRPr="00E138C0">
        <w:rPr>
          <w:rFonts w:asciiTheme="minorHAnsi" w:eastAsia="Calibri" w:hAnsiTheme="minorHAnsi" w:cs="Calibri"/>
          <w:sz w:val="18"/>
          <w:szCs w:val="18"/>
          <w:lang w:val="en-AU"/>
        </w:rPr>
        <w:t>st</w:t>
      </w:r>
      <w:proofErr w:type="spellEnd"/>
      <w:r w:rsidRPr="00E138C0">
        <w:rPr>
          <w:rFonts w:asciiTheme="minorHAnsi" w:eastAsia="Calibri" w:hAnsiTheme="minorHAnsi" w:cs="Calibri"/>
          <w:sz w:val="18"/>
          <w:szCs w:val="18"/>
          <w:lang w:val="en-AU"/>
        </w:rPr>
        <w:t>, 2010, 193(9):525-532.</w:t>
      </w:r>
    </w:p>
    <w:p w:rsidR="001F0009" w:rsidRDefault="001F0009" w:rsidP="001F0009">
      <w:pPr>
        <w:numPr>
          <w:ilvl w:val="0"/>
          <w:numId w:val="4"/>
        </w:numPr>
        <w:tabs>
          <w:tab w:val="left" w:pos="384"/>
        </w:tabs>
        <w:ind w:right="117"/>
        <w:rPr>
          <w:rFonts w:asciiTheme="minorHAnsi" w:eastAsia="Calibri" w:hAnsiTheme="minorHAnsi" w:cs="Calibri"/>
          <w:sz w:val="18"/>
          <w:szCs w:val="18"/>
          <w:lang w:val="en-AU"/>
        </w:rPr>
      </w:pPr>
      <w:proofErr w:type="spellStart"/>
      <w:r w:rsidRPr="001F0009">
        <w:rPr>
          <w:rFonts w:asciiTheme="minorHAnsi" w:eastAsia="Calibri" w:hAnsiTheme="minorHAnsi" w:cs="Calibri"/>
          <w:sz w:val="18"/>
          <w:szCs w:val="18"/>
          <w:lang w:val="en-AU"/>
        </w:rPr>
        <w:t>Guyatt</w:t>
      </w:r>
      <w:proofErr w:type="spellEnd"/>
      <w:r w:rsidRPr="001F0009">
        <w:rPr>
          <w:rFonts w:asciiTheme="minorHAnsi" w:eastAsia="Calibri" w:hAnsiTheme="minorHAnsi" w:cs="Calibri"/>
          <w:sz w:val="18"/>
          <w:szCs w:val="18"/>
          <w:lang w:val="en-AU"/>
        </w:rPr>
        <w:t xml:space="preserve"> GH, </w:t>
      </w:r>
      <w:proofErr w:type="spellStart"/>
      <w:r w:rsidRPr="001F0009">
        <w:rPr>
          <w:rFonts w:asciiTheme="minorHAnsi" w:eastAsia="Calibri" w:hAnsiTheme="minorHAnsi" w:cs="Calibri"/>
          <w:sz w:val="18"/>
          <w:szCs w:val="18"/>
          <w:lang w:val="en-AU"/>
        </w:rPr>
        <w:t>Oxman</w:t>
      </w:r>
      <w:proofErr w:type="spellEnd"/>
      <w:r w:rsidRPr="001F0009">
        <w:rPr>
          <w:rFonts w:asciiTheme="minorHAnsi" w:eastAsia="Calibri" w:hAnsiTheme="minorHAnsi" w:cs="Calibri"/>
          <w:sz w:val="18"/>
          <w:szCs w:val="18"/>
          <w:lang w:val="en-AU"/>
        </w:rPr>
        <w:t xml:space="preserve"> AD, Ali M, et al. Laboratory diagnosis of iron</w:t>
      </w:r>
      <w:r>
        <w:rPr>
          <w:rFonts w:asciiTheme="minorHAnsi" w:eastAsia="Calibri" w:hAnsiTheme="minorHAnsi" w:cs="Calibri"/>
          <w:sz w:val="18"/>
          <w:szCs w:val="18"/>
          <w:lang w:val="en-AU"/>
        </w:rPr>
        <w:t xml:space="preserve"> </w:t>
      </w:r>
      <w:r w:rsidRPr="001F0009">
        <w:rPr>
          <w:rFonts w:asciiTheme="minorHAnsi" w:eastAsia="Calibri" w:hAnsiTheme="minorHAnsi" w:cs="Calibri"/>
          <w:sz w:val="18"/>
          <w:szCs w:val="18"/>
          <w:lang w:val="en-AU"/>
        </w:rPr>
        <w:t>deficiency</w:t>
      </w:r>
      <w:r>
        <w:rPr>
          <w:rFonts w:asciiTheme="minorHAnsi" w:eastAsia="Calibri" w:hAnsiTheme="minorHAnsi" w:cs="Calibri"/>
          <w:sz w:val="18"/>
          <w:szCs w:val="18"/>
          <w:lang w:val="en-AU"/>
        </w:rPr>
        <w:t xml:space="preserve"> </w:t>
      </w:r>
      <w:proofErr w:type="spellStart"/>
      <w:r w:rsidRPr="001F0009">
        <w:rPr>
          <w:rFonts w:asciiTheme="minorHAnsi" w:eastAsia="Calibri" w:hAnsiTheme="minorHAnsi" w:cs="Calibri"/>
          <w:sz w:val="18"/>
          <w:szCs w:val="18"/>
          <w:lang w:val="en-AU"/>
        </w:rPr>
        <w:t>anemia</w:t>
      </w:r>
      <w:proofErr w:type="spellEnd"/>
      <w:r w:rsidRPr="001F0009">
        <w:rPr>
          <w:rFonts w:asciiTheme="minorHAnsi" w:eastAsia="Calibri" w:hAnsiTheme="minorHAnsi" w:cs="Calibri"/>
          <w:sz w:val="18"/>
          <w:szCs w:val="18"/>
          <w:lang w:val="en-AU"/>
        </w:rPr>
        <w:t>: an overview. J Gen Intern Med 1992; 7: 145-153.</w:t>
      </w:r>
    </w:p>
    <w:p w:rsidR="001F0009" w:rsidRPr="001F0009" w:rsidRDefault="001F0009" w:rsidP="001F0009">
      <w:pPr>
        <w:numPr>
          <w:ilvl w:val="0"/>
          <w:numId w:val="4"/>
        </w:numPr>
        <w:tabs>
          <w:tab w:val="left" w:pos="384"/>
        </w:tabs>
        <w:ind w:right="117"/>
        <w:rPr>
          <w:rFonts w:asciiTheme="minorHAnsi" w:eastAsia="Calibri" w:hAnsiTheme="minorHAnsi" w:cs="Calibri"/>
          <w:sz w:val="18"/>
          <w:szCs w:val="18"/>
          <w:lang w:val="en-AU"/>
        </w:rPr>
      </w:pPr>
      <w:r w:rsidRPr="001F0009">
        <w:rPr>
          <w:rFonts w:asciiTheme="minorHAnsi" w:eastAsia="Calibri" w:hAnsiTheme="minorHAnsi" w:cs="Calibri"/>
          <w:sz w:val="18"/>
          <w:szCs w:val="18"/>
          <w:lang w:val="en-AU"/>
        </w:rPr>
        <w:t>Goddard AF, James MW, McIntyre AS, Scott BB. Guidelines for the</w:t>
      </w:r>
      <w:r>
        <w:rPr>
          <w:rFonts w:asciiTheme="minorHAnsi" w:eastAsia="Calibri" w:hAnsiTheme="minorHAnsi" w:cs="Calibri"/>
          <w:sz w:val="18"/>
          <w:szCs w:val="18"/>
          <w:lang w:val="en-AU"/>
        </w:rPr>
        <w:t xml:space="preserve"> </w:t>
      </w:r>
      <w:r w:rsidRPr="001F0009">
        <w:rPr>
          <w:rFonts w:asciiTheme="minorHAnsi" w:eastAsia="Calibri" w:hAnsiTheme="minorHAnsi" w:cs="Calibri"/>
          <w:sz w:val="18"/>
          <w:szCs w:val="18"/>
          <w:lang w:val="en-AU"/>
        </w:rPr>
        <w:t>management of iron deficiency anaemia. British Society of Gastroenterology,</w:t>
      </w:r>
      <w:r>
        <w:rPr>
          <w:rFonts w:asciiTheme="minorHAnsi" w:eastAsia="Calibri" w:hAnsiTheme="minorHAnsi" w:cs="Calibri"/>
          <w:sz w:val="18"/>
          <w:szCs w:val="18"/>
          <w:lang w:val="en-AU"/>
        </w:rPr>
        <w:t xml:space="preserve"> 2005 </w:t>
      </w:r>
      <w:r w:rsidRPr="001F0009">
        <w:rPr>
          <w:rFonts w:asciiTheme="minorHAnsi" w:eastAsia="Calibri" w:hAnsiTheme="minorHAnsi" w:cs="Calibri"/>
          <w:sz w:val="18"/>
          <w:szCs w:val="18"/>
          <w:lang w:val="en-AU"/>
        </w:rPr>
        <w:t>http://www.bsg.org.uk/images/stories/docs/clinical/guidelines/sbn/iron_def.pdf</w:t>
      </w:r>
    </w:p>
    <w:p w:rsidR="00AE3E37" w:rsidRPr="00E138C0" w:rsidRDefault="00AE3E37" w:rsidP="008756E6">
      <w:pPr>
        <w:tabs>
          <w:tab w:val="left" w:pos="384"/>
        </w:tabs>
        <w:ind w:right="117"/>
        <w:rPr>
          <w:rFonts w:asciiTheme="minorHAnsi" w:hAnsiTheme="minorHAnsi"/>
          <w:sz w:val="18"/>
          <w:szCs w:val="18"/>
        </w:rPr>
      </w:pPr>
    </w:p>
    <w:p w:rsidR="00AE3E37" w:rsidRPr="00E138C0" w:rsidRDefault="008756E6">
      <w:pPr>
        <w:spacing w:line="200" w:lineRule="exact"/>
        <w:jc w:val="both"/>
        <w:rPr>
          <w:rFonts w:asciiTheme="minorHAnsi" w:hAnsiTheme="minorHAnsi"/>
          <w:sz w:val="18"/>
          <w:szCs w:val="18"/>
        </w:rPr>
        <w:sectPr w:rsidR="00AE3E37" w:rsidRPr="00E138C0">
          <w:type w:val="continuous"/>
          <w:pgSz w:w="11910" w:h="16840"/>
          <w:pgMar w:top="1740" w:right="600" w:bottom="840" w:left="620" w:header="720" w:footer="720" w:gutter="0"/>
          <w:cols w:num="2" w:space="720" w:equalWidth="0">
            <w:col w:w="5214" w:space="138"/>
            <w:col w:w="5338"/>
          </w:cols>
        </w:sectPr>
      </w:pPr>
      <w:r w:rsidRPr="00E138C0">
        <w:rPr>
          <w:rFonts w:asciiTheme="minorHAnsi" w:hAnsiTheme="minorHAnsi"/>
          <w:sz w:val="18"/>
          <w:szCs w:val="18"/>
        </w:rPr>
        <w:t xml:space="preserve">   </w:t>
      </w:r>
    </w:p>
    <w:p w:rsidR="00AE3E37" w:rsidRPr="00E138C0" w:rsidRDefault="001F0009">
      <w:pPr>
        <w:pStyle w:val="BodyText"/>
        <w:rPr>
          <w:rFonts w:asciiTheme="minorHAnsi" w:hAnsiTheme="minorHAnsi"/>
          <w:b/>
        </w:rPr>
      </w:pPr>
      <w:r>
        <w:rPr>
          <w:rFonts w:asciiTheme="minorHAnsi" w:hAnsiTheme="minorHAnsi"/>
        </w:rPr>
        <w:lastRenderedPageBreak/>
        <w:t xml:space="preserve">                </w:t>
      </w:r>
    </w:p>
    <w:p w:rsidR="00AE3E37" w:rsidRPr="00E138C0" w:rsidRDefault="00292ED9">
      <w:pPr>
        <w:pStyle w:val="BodyText"/>
        <w:spacing w:line="40" w:lineRule="exact"/>
        <w:ind w:left="2202"/>
        <w:rPr>
          <w:rFonts w:asciiTheme="minorHAnsi" w:hAnsiTheme="minorHAnsi"/>
        </w:rPr>
      </w:pPr>
      <w:r w:rsidRPr="00E138C0">
        <w:rPr>
          <w:rFonts w:asciiTheme="minorHAnsi" w:hAnsiTheme="minorHAnsi"/>
          <w:noProof/>
          <w:lang w:val="en-AU" w:eastAsia="en-AU"/>
        </w:rPr>
        <mc:AlternateContent>
          <mc:Choice Requires="wpg">
            <w:drawing>
              <wp:inline distT="0" distB="0" distL="0" distR="0" wp14:anchorId="23D08559" wp14:editId="119863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rsidP="00404E5B">
      <w:pPr>
        <w:spacing w:before="92"/>
        <w:ind w:right="4234"/>
        <w:rPr>
          <w:rFonts w:asciiTheme="minorHAnsi" w:hAnsiTheme="minorHAnsi"/>
          <w:noProof/>
          <w:sz w:val="18"/>
          <w:szCs w:val="18"/>
        </w:rPr>
      </w:pPr>
    </w:p>
    <w:p w:rsidR="00E138C0" w:rsidRPr="00E138C0" w:rsidRDefault="00E138C0" w:rsidP="00404E5B">
      <w:pPr>
        <w:spacing w:before="92"/>
        <w:ind w:right="4234"/>
        <w:rPr>
          <w:rFonts w:asciiTheme="minorHAnsi" w:hAnsiTheme="minorHAnsi"/>
          <w:sz w:val="18"/>
          <w:szCs w:val="18"/>
        </w:rPr>
      </w:pPr>
    </w:p>
    <w:p w:rsidR="00AE3E37" w:rsidRPr="00E138C0" w:rsidRDefault="00A9710C">
      <w:pPr>
        <w:spacing w:before="41" w:line="154" w:lineRule="exact"/>
        <w:ind w:left="213" w:right="231"/>
        <w:jc w:val="both"/>
        <w:rPr>
          <w:rFonts w:asciiTheme="minorHAnsi" w:hAnsiTheme="minorHAnsi"/>
          <w:sz w:val="18"/>
          <w:szCs w:val="18"/>
        </w:rPr>
      </w:pPr>
      <w:proofErr w:type="spellStart"/>
      <w:r w:rsidRPr="00E138C0">
        <w:rPr>
          <w:rFonts w:asciiTheme="minorHAnsi" w:hAnsiTheme="minorHAnsi"/>
          <w:sz w:val="18"/>
          <w:szCs w:val="18"/>
        </w:rPr>
        <w:t>D</w:t>
      </w:r>
      <w:r w:rsidR="0078738A" w:rsidRPr="00E138C0">
        <w:rPr>
          <w:rFonts w:asciiTheme="minorHAnsi" w:hAnsiTheme="minorHAnsi"/>
          <w:sz w:val="18"/>
          <w:szCs w:val="18"/>
        </w:rPr>
        <w:t>r</w:t>
      </w:r>
      <w:proofErr w:type="spellEnd"/>
      <w:r w:rsidR="0078738A" w:rsidRPr="00E138C0">
        <w:rPr>
          <w:rFonts w:asciiTheme="minorHAnsi" w:hAnsiTheme="minorHAnsi"/>
          <w:sz w:val="18"/>
          <w:szCs w:val="18"/>
        </w:rPr>
        <w:t xml:space="preserve"> </w:t>
      </w:r>
      <w:r w:rsidR="00E138C0">
        <w:rPr>
          <w:rFonts w:asciiTheme="minorHAnsi" w:hAnsiTheme="minorHAnsi"/>
          <w:sz w:val="18"/>
          <w:szCs w:val="18"/>
        </w:rPr>
        <w:t xml:space="preserve">Go is a general and perioperative medicine physician currently practicing at Mater Hospital Brisbane. He is a committee member of the perioperative blood management working party and actively participated in the ongoing clinical governance of Mater Hospital to comply with national blood management standard. He is also an associate lecturer at University of Queensland actively involved with clinical teaching of medical students. </w:t>
      </w:r>
    </w:p>
    <w:p w:rsidR="00E138C0" w:rsidRDefault="00E138C0">
      <w:pPr>
        <w:spacing w:before="62"/>
        <w:ind w:left="4217" w:right="4235"/>
        <w:jc w:val="center"/>
        <w:rPr>
          <w:rFonts w:asciiTheme="minorHAnsi" w:hAnsiTheme="minorHAnsi"/>
          <w:sz w:val="18"/>
          <w:szCs w:val="18"/>
        </w:rPr>
      </w:pPr>
      <w:r>
        <w:rPr>
          <w:rFonts w:asciiTheme="minorHAnsi" w:hAnsiTheme="minorHAnsi"/>
          <w:sz w:val="18"/>
          <w:szCs w:val="18"/>
        </w:rPr>
        <w:t>Email:</w:t>
      </w:r>
    </w:p>
    <w:p w:rsidR="00AE3E37" w:rsidRPr="00E138C0" w:rsidRDefault="00E138C0">
      <w:pPr>
        <w:spacing w:before="62"/>
        <w:ind w:left="4217" w:right="4235"/>
        <w:jc w:val="center"/>
        <w:rPr>
          <w:rFonts w:asciiTheme="minorHAnsi" w:hAnsiTheme="minorHAnsi"/>
          <w:sz w:val="18"/>
          <w:szCs w:val="18"/>
        </w:rPr>
      </w:pPr>
      <w:r>
        <w:rPr>
          <w:rFonts w:asciiTheme="minorHAnsi" w:hAnsiTheme="minorHAnsi"/>
          <w:sz w:val="18"/>
          <w:szCs w:val="18"/>
        </w:rPr>
        <w:t>guspath@yahoo.com</w:t>
      </w:r>
    </w:p>
    <w:p w:rsidR="00AE3E37" w:rsidRPr="00E138C0" w:rsidRDefault="00292ED9">
      <w:pPr>
        <w:pStyle w:val="BodyText"/>
        <w:spacing w:before="2"/>
        <w:rPr>
          <w:rFonts w:asciiTheme="minorHAnsi" w:hAnsiTheme="minorHAnsi"/>
        </w:rPr>
      </w:pPr>
      <w:r w:rsidRPr="00E138C0">
        <w:rPr>
          <w:rFonts w:asciiTheme="minorHAnsi" w:hAnsiTheme="minorHAnsi"/>
          <w:noProof/>
          <w:lang w:val="en-AU" w:eastAsia="en-AU"/>
        </w:rPr>
        <mc:AlternateContent>
          <mc:Choice Requires="wps">
            <w:drawing>
              <wp:anchor distT="0" distB="0" distL="0" distR="0" simplePos="0" relativeHeight="1072" behindDoc="0" locked="0" layoutInCell="1" allowOverlap="1" wp14:anchorId="4A2F01C6" wp14:editId="0863D79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138C0" w:rsidRDefault="00AE3E37">
      <w:pPr>
        <w:pStyle w:val="BodyText"/>
        <w:rPr>
          <w:rFonts w:asciiTheme="minorHAnsi" w:hAnsiTheme="minorHAnsi"/>
        </w:rPr>
      </w:pPr>
    </w:p>
    <w:p w:rsidR="00AE3E37" w:rsidRPr="00E138C0" w:rsidRDefault="00AE3E37">
      <w:pPr>
        <w:pStyle w:val="BodyText"/>
        <w:rPr>
          <w:rFonts w:asciiTheme="minorHAnsi" w:hAnsiTheme="minorHAnsi"/>
        </w:rPr>
      </w:pPr>
    </w:p>
    <w:p w:rsidR="00AE3E37" w:rsidRPr="00E138C0" w:rsidRDefault="00AE3E37">
      <w:pPr>
        <w:pStyle w:val="BodyText"/>
        <w:spacing w:before="7"/>
        <w:rPr>
          <w:rFonts w:asciiTheme="minorHAnsi" w:hAnsiTheme="minorHAnsi"/>
        </w:rPr>
      </w:pPr>
    </w:p>
    <w:p w:rsidR="00AE3E37" w:rsidRPr="00E138C0" w:rsidRDefault="00A9710C">
      <w:pPr>
        <w:spacing w:before="39"/>
        <w:ind w:left="100"/>
        <w:rPr>
          <w:rFonts w:asciiTheme="minorHAnsi" w:hAnsiTheme="minorHAnsi"/>
          <w:b/>
          <w:sz w:val="18"/>
          <w:szCs w:val="18"/>
        </w:rPr>
      </w:pPr>
      <w:r w:rsidRPr="00E138C0">
        <w:rPr>
          <w:rFonts w:asciiTheme="minorHAnsi" w:hAnsiTheme="minorHAnsi"/>
          <w:b/>
          <w:sz w:val="18"/>
          <w:szCs w:val="18"/>
        </w:rPr>
        <w:t>Notes/Comments:</w:t>
      </w:r>
    </w:p>
    <w:p w:rsidR="00AE3E37" w:rsidRPr="00E138C0" w:rsidRDefault="00AE3E37">
      <w:pPr>
        <w:rPr>
          <w:rFonts w:asciiTheme="minorHAnsi" w:hAnsiTheme="minorHAnsi"/>
          <w:sz w:val="18"/>
          <w:szCs w:val="18"/>
        </w:rPr>
        <w:sectPr w:rsidR="00AE3E37" w:rsidRPr="00E138C0">
          <w:type w:val="continuous"/>
          <w:pgSz w:w="11910" w:h="16840"/>
          <w:pgMar w:top="1740" w:right="600" w:bottom="840" w:left="620" w:header="720" w:footer="720" w:gutter="0"/>
          <w:cols w:space="720"/>
        </w:sectPr>
      </w:pPr>
    </w:p>
    <w:p w:rsidR="00AE3E37" w:rsidRPr="00E138C0" w:rsidRDefault="00AE3E37">
      <w:pPr>
        <w:pStyle w:val="BodyText"/>
        <w:spacing w:before="3"/>
        <w:rPr>
          <w:rFonts w:asciiTheme="minorHAnsi" w:hAnsiTheme="minorHAnsi"/>
        </w:rPr>
      </w:pPr>
    </w:p>
    <w:sectPr w:rsidR="00AE3E37" w:rsidRPr="00E138C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5EE4FD67" wp14:editId="11DA31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7AAD00CF" wp14:editId="5A0503A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0D6AF511" wp14:editId="5B48524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14:anchorId="1D914698" wp14:editId="694E088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14:anchorId="71AA6F5F" wp14:editId="327F76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12E5134"/>
    <w:multiLevelType w:val="hybridMultilevel"/>
    <w:tmpl w:val="0CB6EC42"/>
    <w:lvl w:ilvl="0" w:tplc="51B64B4E">
      <w:start w:val="1"/>
      <w:numFmt w:val="decimal"/>
      <w:lvlText w:val="%1."/>
      <w:lvlJc w:val="left"/>
      <w:pPr>
        <w:tabs>
          <w:tab w:val="num" w:pos="720"/>
        </w:tabs>
        <w:ind w:left="720" w:hanging="360"/>
      </w:pPr>
    </w:lvl>
    <w:lvl w:ilvl="1" w:tplc="87B0DCFC" w:tentative="1">
      <w:start w:val="1"/>
      <w:numFmt w:val="decimal"/>
      <w:lvlText w:val="%2."/>
      <w:lvlJc w:val="left"/>
      <w:pPr>
        <w:tabs>
          <w:tab w:val="num" w:pos="1440"/>
        </w:tabs>
        <w:ind w:left="1440" w:hanging="360"/>
      </w:pPr>
    </w:lvl>
    <w:lvl w:ilvl="2" w:tplc="3412E2A0" w:tentative="1">
      <w:start w:val="1"/>
      <w:numFmt w:val="decimal"/>
      <w:lvlText w:val="%3."/>
      <w:lvlJc w:val="left"/>
      <w:pPr>
        <w:tabs>
          <w:tab w:val="num" w:pos="2160"/>
        </w:tabs>
        <w:ind w:left="2160" w:hanging="360"/>
      </w:pPr>
    </w:lvl>
    <w:lvl w:ilvl="3" w:tplc="A68005F0" w:tentative="1">
      <w:start w:val="1"/>
      <w:numFmt w:val="decimal"/>
      <w:lvlText w:val="%4."/>
      <w:lvlJc w:val="left"/>
      <w:pPr>
        <w:tabs>
          <w:tab w:val="num" w:pos="2880"/>
        </w:tabs>
        <w:ind w:left="2880" w:hanging="360"/>
      </w:pPr>
    </w:lvl>
    <w:lvl w:ilvl="4" w:tplc="08805B42" w:tentative="1">
      <w:start w:val="1"/>
      <w:numFmt w:val="decimal"/>
      <w:lvlText w:val="%5."/>
      <w:lvlJc w:val="left"/>
      <w:pPr>
        <w:tabs>
          <w:tab w:val="num" w:pos="3600"/>
        </w:tabs>
        <w:ind w:left="3600" w:hanging="360"/>
      </w:pPr>
    </w:lvl>
    <w:lvl w:ilvl="5" w:tplc="784434D2" w:tentative="1">
      <w:start w:val="1"/>
      <w:numFmt w:val="decimal"/>
      <w:lvlText w:val="%6."/>
      <w:lvlJc w:val="left"/>
      <w:pPr>
        <w:tabs>
          <w:tab w:val="num" w:pos="4320"/>
        </w:tabs>
        <w:ind w:left="4320" w:hanging="360"/>
      </w:pPr>
    </w:lvl>
    <w:lvl w:ilvl="6" w:tplc="AD3A0FF8" w:tentative="1">
      <w:start w:val="1"/>
      <w:numFmt w:val="decimal"/>
      <w:lvlText w:val="%7."/>
      <w:lvlJc w:val="left"/>
      <w:pPr>
        <w:tabs>
          <w:tab w:val="num" w:pos="5040"/>
        </w:tabs>
        <w:ind w:left="5040" w:hanging="360"/>
      </w:pPr>
    </w:lvl>
    <w:lvl w:ilvl="7" w:tplc="F1CA5D84" w:tentative="1">
      <w:start w:val="1"/>
      <w:numFmt w:val="decimal"/>
      <w:lvlText w:val="%8."/>
      <w:lvlJc w:val="left"/>
      <w:pPr>
        <w:tabs>
          <w:tab w:val="num" w:pos="5760"/>
        </w:tabs>
        <w:ind w:left="5760" w:hanging="360"/>
      </w:pPr>
    </w:lvl>
    <w:lvl w:ilvl="8" w:tplc="0686AEA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1F0009"/>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B5346"/>
    <w:rsid w:val="00873DF0"/>
    <w:rsid w:val="008756E6"/>
    <w:rsid w:val="009B2D44"/>
    <w:rsid w:val="00A07E82"/>
    <w:rsid w:val="00A9710C"/>
    <w:rsid w:val="00AE3E37"/>
    <w:rsid w:val="00B21A57"/>
    <w:rsid w:val="00C33602"/>
    <w:rsid w:val="00CD2099"/>
    <w:rsid w:val="00CD6F55"/>
    <w:rsid w:val="00D62425"/>
    <w:rsid w:val="00DE3104"/>
    <w:rsid w:val="00E138C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1821">
      <w:bodyDiv w:val="1"/>
      <w:marLeft w:val="0"/>
      <w:marRight w:val="0"/>
      <w:marTop w:val="0"/>
      <w:marBottom w:val="0"/>
      <w:divBdr>
        <w:top w:val="none" w:sz="0" w:space="0" w:color="auto"/>
        <w:left w:val="none" w:sz="0" w:space="0" w:color="auto"/>
        <w:bottom w:val="none" w:sz="0" w:space="0" w:color="auto"/>
        <w:right w:val="none" w:sz="0" w:space="0" w:color="auto"/>
      </w:divBdr>
    </w:div>
    <w:div w:id="13437726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6299008">
      <w:bodyDiv w:val="1"/>
      <w:marLeft w:val="0"/>
      <w:marRight w:val="0"/>
      <w:marTop w:val="0"/>
      <w:marBottom w:val="0"/>
      <w:divBdr>
        <w:top w:val="none" w:sz="0" w:space="0" w:color="auto"/>
        <w:left w:val="none" w:sz="0" w:space="0" w:color="auto"/>
        <w:bottom w:val="none" w:sz="0" w:space="0" w:color="auto"/>
        <w:right w:val="none" w:sz="0" w:space="0" w:color="auto"/>
      </w:divBdr>
    </w:div>
    <w:div w:id="1214386088">
      <w:bodyDiv w:val="1"/>
      <w:marLeft w:val="0"/>
      <w:marRight w:val="0"/>
      <w:marTop w:val="0"/>
      <w:marBottom w:val="0"/>
      <w:divBdr>
        <w:top w:val="none" w:sz="0" w:space="0" w:color="auto"/>
        <w:left w:val="none" w:sz="0" w:space="0" w:color="auto"/>
        <w:bottom w:val="none" w:sz="0" w:space="0" w:color="auto"/>
        <w:right w:val="none" w:sz="0" w:space="0" w:color="auto"/>
      </w:divBdr>
      <w:divsChild>
        <w:div w:id="318118730">
          <w:marLeft w:val="360"/>
          <w:marRight w:val="0"/>
          <w:marTop w:val="0"/>
          <w:marBottom w:val="0"/>
          <w:divBdr>
            <w:top w:val="none" w:sz="0" w:space="0" w:color="auto"/>
            <w:left w:val="none" w:sz="0" w:space="0" w:color="auto"/>
            <w:bottom w:val="none" w:sz="0" w:space="0" w:color="auto"/>
            <w:right w:val="none" w:sz="0" w:space="0" w:color="auto"/>
          </w:divBdr>
        </w:div>
        <w:div w:id="315112112">
          <w:marLeft w:val="360"/>
          <w:marRight w:val="0"/>
          <w:marTop w:val="0"/>
          <w:marBottom w:val="0"/>
          <w:divBdr>
            <w:top w:val="none" w:sz="0" w:space="0" w:color="auto"/>
            <w:left w:val="none" w:sz="0" w:space="0" w:color="auto"/>
            <w:bottom w:val="none" w:sz="0" w:space="0" w:color="auto"/>
            <w:right w:val="none" w:sz="0" w:space="0" w:color="auto"/>
          </w:divBdr>
        </w:div>
        <w:div w:id="2103406635">
          <w:marLeft w:val="36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725795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 Gus Adi Gunawan</cp:lastModifiedBy>
  <cp:revision>4</cp:revision>
  <dcterms:created xsi:type="dcterms:W3CDTF">2019-07-19T05:06:00Z</dcterms:created>
  <dcterms:modified xsi:type="dcterms:W3CDTF">2019-07-19T05:35:00Z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