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07A" w:rsidRPr="0071007A" w:rsidRDefault="0071007A" w:rsidP="007100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131413"/>
          <w:sz w:val="32"/>
          <w:szCs w:val="32"/>
        </w:rPr>
      </w:pPr>
      <w:r w:rsidRPr="0071007A">
        <w:rPr>
          <w:rFonts w:ascii="Times New Roman" w:hAnsi="Times New Roman" w:cs="Times New Roman"/>
          <w:b/>
          <w:color w:val="131413"/>
          <w:sz w:val="32"/>
          <w:szCs w:val="32"/>
        </w:rPr>
        <w:t>Effect of iron-folic acid supplementation on change of hemoglobin among visceral Leishmaniasis patients in northwest Ethiopia: a retrospective follow up study</w:t>
      </w:r>
    </w:p>
    <w:p w:rsidR="001D417E" w:rsidRDefault="001D417E" w:rsidP="0071007A">
      <w:pPr>
        <w:rPr>
          <w:rFonts w:ascii="MsyvgxAdvTTb5929f4c" w:hAnsi="MsyvgxAdvTTb5929f4c" w:cs="MsyvgxAdvTTb5929f4c"/>
          <w:color w:val="131413"/>
        </w:rPr>
      </w:pPr>
    </w:p>
    <w:p w:rsidR="006437FD" w:rsidRDefault="0071007A" w:rsidP="0071007A">
      <w:pPr>
        <w:rPr>
          <w:rFonts w:ascii="MsyvgxAdvTTb5929f4c" w:hAnsi="MsyvgxAdvTTb5929f4c" w:cs="MsyvgxAdvTTb5929f4c"/>
          <w:color w:val="131413"/>
          <w:sz w:val="15"/>
          <w:szCs w:val="15"/>
        </w:rPr>
      </w:pPr>
      <w:proofErr w:type="spellStart"/>
      <w:r>
        <w:rPr>
          <w:rFonts w:ascii="MsyvgxAdvTTb5929f4c" w:hAnsi="MsyvgxAdvTTb5929f4c" w:cs="MsyvgxAdvTTb5929f4c"/>
          <w:color w:val="131413"/>
        </w:rPr>
        <w:t>Tadele</w:t>
      </w:r>
      <w:proofErr w:type="spellEnd"/>
      <w:r>
        <w:rPr>
          <w:rFonts w:ascii="MsyvgxAdvTTb5929f4c" w:hAnsi="MsyvgxAdvTTb5929f4c" w:cs="MsyvgxAdvTTb5929f4c"/>
          <w:color w:val="131413"/>
        </w:rPr>
        <w:t xml:space="preserve"> </w:t>
      </w:r>
      <w:proofErr w:type="spellStart"/>
      <w:r>
        <w:rPr>
          <w:rFonts w:ascii="MsyvgxAdvTTb5929f4c" w:hAnsi="MsyvgxAdvTTb5929f4c" w:cs="MsyvgxAdvTTb5929f4c"/>
          <w:color w:val="131413"/>
        </w:rPr>
        <w:t>Mulaw</w:t>
      </w:r>
      <w:proofErr w:type="spellEnd"/>
      <w:r>
        <w:rPr>
          <w:rFonts w:ascii="MsyvgxAdvTTb5929f4c" w:hAnsi="MsyvgxAdvTTb5929f4c" w:cs="MsyvgxAdvTTb5929f4c"/>
          <w:color w:val="131413"/>
        </w:rPr>
        <w:t xml:space="preserve">, </w:t>
      </w:r>
      <w:proofErr w:type="spellStart"/>
      <w:r>
        <w:rPr>
          <w:rFonts w:ascii="MsyvgxAdvTTb5929f4c" w:hAnsi="MsyvgxAdvTTb5929f4c" w:cs="MsyvgxAdvTTb5929f4c"/>
          <w:color w:val="131413"/>
        </w:rPr>
        <w:t>Amare</w:t>
      </w:r>
      <w:proofErr w:type="spellEnd"/>
      <w:r>
        <w:rPr>
          <w:rFonts w:ascii="MsyvgxAdvTTb5929f4c" w:hAnsi="MsyvgxAdvTTb5929f4c" w:cs="MsyvgxAdvTTb5929f4c"/>
          <w:color w:val="131413"/>
        </w:rPr>
        <w:t xml:space="preserve"> Tariku, </w:t>
      </w:r>
      <w:proofErr w:type="spellStart"/>
      <w:r>
        <w:rPr>
          <w:rFonts w:ascii="MsyvgxAdvTTb5929f4c" w:hAnsi="MsyvgxAdvTTb5929f4c" w:cs="MsyvgxAdvTTb5929f4c"/>
          <w:color w:val="131413"/>
        </w:rPr>
        <w:t>Adino</w:t>
      </w:r>
      <w:proofErr w:type="spellEnd"/>
      <w:r>
        <w:rPr>
          <w:rFonts w:ascii="MsyvgxAdvTTb5929f4c" w:hAnsi="MsyvgxAdvTTb5929f4c" w:cs="MsyvgxAdvTTb5929f4c"/>
          <w:color w:val="131413"/>
        </w:rPr>
        <w:t xml:space="preserve"> </w:t>
      </w:r>
      <w:proofErr w:type="spellStart"/>
      <w:r>
        <w:rPr>
          <w:rFonts w:ascii="MsyvgxAdvTTb5929f4c" w:hAnsi="MsyvgxAdvTTb5929f4c" w:cs="MsyvgxAdvTTb5929f4c"/>
          <w:color w:val="131413"/>
        </w:rPr>
        <w:t>Tesfahun</w:t>
      </w:r>
      <w:proofErr w:type="spellEnd"/>
      <w:r>
        <w:rPr>
          <w:rFonts w:ascii="MsyvgxAdvTTb5929f4c" w:hAnsi="MsyvgxAdvTTb5929f4c" w:cs="MsyvgxAdvTTb5929f4c"/>
          <w:color w:val="131413"/>
        </w:rPr>
        <w:t xml:space="preserve"> </w:t>
      </w:r>
      <w:proofErr w:type="spellStart"/>
      <w:r>
        <w:rPr>
          <w:rFonts w:ascii="MsyvgxAdvTTb5929f4c" w:hAnsi="MsyvgxAdvTTb5929f4c" w:cs="MsyvgxAdvTTb5929f4c"/>
          <w:color w:val="131413"/>
        </w:rPr>
        <w:t>Tsegaye</w:t>
      </w:r>
      <w:proofErr w:type="spellEnd"/>
      <w:r w:rsidR="001D417E">
        <w:rPr>
          <w:rFonts w:ascii="MsyvgxAdvTTb5929f4c" w:hAnsi="MsyvgxAdvTTb5929f4c" w:cs="MsyvgxAdvTTb5929f4c"/>
          <w:color w:val="131413"/>
          <w:sz w:val="15"/>
          <w:szCs w:val="15"/>
        </w:rPr>
        <w:t xml:space="preserve"> </w:t>
      </w:r>
      <w:r>
        <w:rPr>
          <w:rFonts w:ascii="MsyvgxAdvTTb5929f4c" w:hAnsi="MsyvgxAdvTTb5929f4c" w:cs="MsyvgxAdvTTb5929f4c"/>
          <w:color w:val="131413"/>
        </w:rPr>
        <w:t xml:space="preserve">and </w:t>
      </w:r>
      <w:proofErr w:type="spellStart"/>
      <w:r>
        <w:rPr>
          <w:rFonts w:ascii="MsyvgxAdvTTb5929f4c" w:hAnsi="MsyvgxAdvTTb5929f4c" w:cs="MsyvgxAdvTTb5929f4c"/>
          <w:color w:val="131413"/>
        </w:rPr>
        <w:t>Zegeye</w:t>
      </w:r>
      <w:proofErr w:type="spellEnd"/>
      <w:r>
        <w:rPr>
          <w:rFonts w:ascii="MsyvgxAdvTTb5929f4c" w:hAnsi="MsyvgxAdvTTb5929f4c" w:cs="MsyvgxAdvTTb5929f4c"/>
          <w:color w:val="131413"/>
        </w:rPr>
        <w:t xml:space="preserve"> </w:t>
      </w:r>
      <w:proofErr w:type="spellStart"/>
      <w:r>
        <w:rPr>
          <w:rFonts w:ascii="MsyvgxAdvTTb5929f4c" w:hAnsi="MsyvgxAdvTTb5929f4c" w:cs="MsyvgxAdvTTb5929f4c"/>
          <w:color w:val="131413"/>
        </w:rPr>
        <w:t>Abebe</w:t>
      </w:r>
      <w:proofErr w:type="spellEnd"/>
    </w:p>
    <w:p w:rsidR="0071007A" w:rsidRPr="001D417E" w:rsidRDefault="0071007A" w:rsidP="0071007A">
      <w:pPr>
        <w:autoSpaceDE w:val="0"/>
        <w:autoSpaceDN w:val="0"/>
        <w:adjustRightInd w:val="0"/>
        <w:spacing w:after="0" w:line="240" w:lineRule="auto"/>
        <w:rPr>
          <w:rFonts w:ascii="Arial Black" w:hAnsi="Arial Black" w:cs="QrtjkjAdvTTaf7f9f4f.B"/>
          <w:b/>
          <w:color w:val="131413"/>
          <w:sz w:val="24"/>
          <w:szCs w:val="24"/>
        </w:rPr>
      </w:pPr>
      <w:r w:rsidRPr="001D417E">
        <w:rPr>
          <w:rFonts w:ascii="Arial Black" w:hAnsi="Arial Black" w:cs="QrtjkjAdvTTaf7f9f4f.B"/>
          <w:b/>
          <w:color w:val="131413"/>
          <w:sz w:val="24"/>
          <w:szCs w:val="24"/>
        </w:rPr>
        <w:t>Abstract</w:t>
      </w:r>
    </w:p>
    <w:p w:rsidR="0071007A" w:rsidRPr="0071007A" w:rsidRDefault="0071007A" w:rsidP="007100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1D417E">
        <w:rPr>
          <w:rFonts w:ascii="Times New Roman" w:hAnsi="Times New Roman" w:cs="Times New Roman"/>
          <w:b/>
          <w:color w:val="131413"/>
          <w:sz w:val="24"/>
          <w:szCs w:val="24"/>
        </w:rPr>
        <w:t>Background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>: An individual with visceral Leishmaniasis (VL) commonly present with anemia and one of the VL treatment center in northwest Ethiopia has been recommended iron-folic acid supplementation to these patients. But there is no documented evidence whether iron-folic acid supplementation improves the hematological profile of patients. Therefore, the study aimed to assess change in hemoglobin (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Hb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>) and its determinant factors among VL patients with and without iron-folic acid supplementation in northwest Ethiopia.</w:t>
      </w:r>
    </w:p>
    <w:p w:rsidR="0071007A" w:rsidRPr="0071007A" w:rsidRDefault="0071007A" w:rsidP="007100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71007A">
        <w:rPr>
          <w:rFonts w:ascii="Times New Roman" w:hAnsi="Times New Roman" w:cs="Times New Roman"/>
          <w:b/>
          <w:color w:val="131413"/>
          <w:sz w:val="24"/>
          <w:szCs w:val="24"/>
        </w:rPr>
        <w:t>Methods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: A retrospective cohort study was conducted from January 2015 to December 2016. Data were entered into 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Epi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-Data version 3.1 and transferred to Statistical Package for Social Science (SPSS) version 20 for analysis. Independent sample T-test and linear regression were used to compare the change in 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Hb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 and identify factors associated with a change in 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Hb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>, respectively. A 95% confidence level and p-values less than 0.05 were used determine statistically significant.</w:t>
      </w:r>
    </w:p>
    <w:p w:rsidR="0071007A" w:rsidRPr="0071007A" w:rsidRDefault="0071007A" w:rsidP="007100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1D417E">
        <w:rPr>
          <w:rFonts w:ascii="Arial Black" w:hAnsi="Arial Black" w:cs="Times New Roman"/>
          <w:b/>
          <w:color w:val="131413"/>
          <w:sz w:val="24"/>
          <w:szCs w:val="24"/>
        </w:rPr>
        <w:t>Results</w:t>
      </w:r>
      <w:r w:rsidRPr="0071007A">
        <w:rPr>
          <w:rFonts w:ascii="Times New Roman" w:hAnsi="Times New Roman" w:cs="Times New Roman"/>
          <w:b/>
          <w:color w:val="131413"/>
          <w:sz w:val="24"/>
          <w:szCs w:val="24"/>
        </w:rPr>
        <w:t>: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 From a total of 602 VL patients, 299 (49.7%) were from University of Gondar hospital. The mean (±SD) change of 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Hb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 from baseline to end of treatment was 0.99(±1.64) and 1.61(±1.88) g/dl with and without iron-folate supplementation, respectively, with mean difference 0.62, 95% CI (0.34, 0.90) and a p-value of &lt; 0.0001. In multiple linear regressions, combination therapy of sodium stibogluconate-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paramomycin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 (SSG-PM) was positively associated with a change of 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Hb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 (β [SE, p]: 0.710/0.15, &lt; 0.0001). Whereas age (</w:t>
      </w:r>
      <w:r w:rsidRPr="0071007A">
        <w:rPr>
          <w:rFonts w:ascii="Times New Roman" w:eastAsia="CjhsyrAdvTTb5929f4c+22" w:hAnsi="Times New Roman" w:cs="Times New Roman"/>
          <w:color w:val="131413"/>
          <w:sz w:val="24"/>
          <w:szCs w:val="24"/>
        </w:rPr>
        <w:t xml:space="preserve">− 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>0.030/0.009, 0.001), nasal bleeding (</w:t>
      </w:r>
      <w:r w:rsidRPr="0071007A">
        <w:rPr>
          <w:rFonts w:ascii="Times New Roman" w:eastAsia="CjhsyrAdvTTb5929f4c+22" w:hAnsi="Times New Roman" w:cs="Times New Roman"/>
          <w:color w:val="131413"/>
          <w:sz w:val="24"/>
          <w:szCs w:val="24"/>
        </w:rPr>
        <w:t xml:space="preserve">− 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>0.261/0.123, 0.035), baseline white blood cell (</w:t>
      </w:r>
      <w:r w:rsidRPr="0071007A">
        <w:rPr>
          <w:rFonts w:ascii="Times New Roman" w:eastAsia="CjhsyrAdvTTb5929f4c+22" w:hAnsi="Times New Roman" w:cs="Times New Roman"/>
          <w:color w:val="131413"/>
          <w:sz w:val="24"/>
          <w:szCs w:val="24"/>
        </w:rPr>
        <w:t xml:space="preserve">− 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>0.139/0.044, 0.002) and hemoglobin (</w:t>
      </w:r>
      <w:r w:rsidRPr="0071007A">
        <w:rPr>
          <w:rFonts w:ascii="Times New Roman" w:eastAsia="CjhsyrAdvTTb5929f4c+22" w:hAnsi="Times New Roman" w:cs="Times New Roman"/>
          <w:color w:val="131413"/>
          <w:sz w:val="24"/>
          <w:szCs w:val="24"/>
        </w:rPr>
        <w:t xml:space="preserve">− 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>0.513/0.031, &lt; 0.0001), end of treatment spleen size (0.059/0.015, &lt; 0.0001) and iron-folic acid supplementation (</w:t>
      </w:r>
      <w:r w:rsidRPr="0071007A">
        <w:rPr>
          <w:rFonts w:ascii="Times New Roman" w:eastAsia="CjhsyrAdvTTb5929f4c+22" w:hAnsi="Times New Roman" w:cs="Times New Roman"/>
          <w:color w:val="131413"/>
          <w:sz w:val="24"/>
          <w:szCs w:val="24"/>
        </w:rPr>
        <w:t xml:space="preserve">− 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>0.574/0.163, &lt; 0.0001) were negative</w:t>
      </w:r>
      <w:r w:rsidR="001D417E">
        <w:rPr>
          <w:rFonts w:ascii="Times New Roman" w:hAnsi="Times New Roman" w:cs="Times New Roman"/>
          <w:color w:val="131413"/>
          <w:sz w:val="24"/>
          <w:szCs w:val="24"/>
        </w:rPr>
        <w:t xml:space="preserve">ly associated with change of </w:t>
      </w:r>
      <w:proofErr w:type="spellStart"/>
      <w:r w:rsidR="001D417E">
        <w:rPr>
          <w:rFonts w:ascii="Times New Roman" w:hAnsi="Times New Roman" w:cs="Times New Roman"/>
          <w:color w:val="131413"/>
          <w:sz w:val="24"/>
          <w:szCs w:val="24"/>
        </w:rPr>
        <w:t>Hb</w:t>
      </w:r>
      <w:proofErr w:type="spellEnd"/>
    </w:p>
    <w:p w:rsidR="0071007A" w:rsidRDefault="0071007A" w:rsidP="007100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1D417E">
        <w:rPr>
          <w:rFonts w:ascii="Arial Black" w:hAnsi="Arial Black" w:cs="Times New Roman"/>
          <w:b/>
          <w:color w:val="131413"/>
          <w:sz w:val="24"/>
          <w:szCs w:val="24"/>
        </w:rPr>
        <w:t>Conclusion</w:t>
      </w:r>
      <w:r w:rsidRPr="0071007A">
        <w:rPr>
          <w:rFonts w:ascii="Times New Roman" w:hAnsi="Times New Roman" w:cs="Times New Roman"/>
          <w:b/>
          <w:color w:val="131413"/>
          <w:sz w:val="24"/>
          <w:szCs w:val="24"/>
        </w:rPr>
        <w:t>: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 Iron-folic acid supplementation had a negative effect on the change of 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Hb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>. A combination</w:t>
      </w:r>
      <w:r w:rsidR="001D417E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therapy of SSG-PM, age, nasal bleeding, baseline white blood cells and 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Hb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 xml:space="preserve">, and iron-folic acid supplementation were the determinants of change of </w:t>
      </w:r>
      <w:proofErr w:type="spellStart"/>
      <w:r w:rsidRPr="0071007A">
        <w:rPr>
          <w:rFonts w:ascii="Times New Roman" w:hAnsi="Times New Roman" w:cs="Times New Roman"/>
          <w:color w:val="131413"/>
          <w:sz w:val="24"/>
          <w:szCs w:val="24"/>
        </w:rPr>
        <w:t>Hb</w:t>
      </w:r>
      <w:proofErr w:type="spellEnd"/>
      <w:r w:rsidRPr="0071007A">
        <w:rPr>
          <w:rFonts w:ascii="Times New Roman" w:hAnsi="Times New Roman" w:cs="Times New Roman"/>
          <w:color w:val="131413"/>
          <w:sz w:val="24"/>
          <w:szCs w:val="24"/>
        </w:rPr>
        <w:t>. Therefore, avoiding iron-folic acid supplementation and strengthening VL treatment with a combination of SSG-PM and, and early identification of complications is recommended for a better outcome.</w:t>
      </w:r>
    </w:p>
    <w:p w:rsidR="001D417E" w:rsidRPr="0071007A" w:rsidRDefault="001D417E" w:rsidP="007100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</w:p>
    <w:p w:rsidR="0071007A" w:rsidRPr="0071007A" w:rsidRDefault="0071007A" w:rsidP="0071007A">
      <w:pPr>
        <w:jc w:val="both"/>
        <w:rPr>
          <w:rFonts w:ascii="Times New Roman" w:hAnsi="Times New Roman" w:cs="Times New Roman"/>
          <w:sz w:val="24"/>
          <w:szCs w:val="24"/>
        </w:rPr>
      </w:pPr>
      <w:r w:rsidRPr="001D417E">
        <w:rPr>
          <w:rFonts w:ascii="Arial Black" w:hAnsi="Arial Black" w:cs="Times New Roman"/>
          <w:b/>
          <w:color w:val="131413"/>
          <w:sz w:val="24"/>
          <w:szCs w:val="24"/>
        </w:rPr>
        <w:t>Keywords</w:t>
      </w:r>
      <w:r w:rsidRPr="0071007A">
        <w:rPr>
          <w:rFonts w:ascii="Times New Roman" w:hAnsi="Times New Roman" w:cs="Times New Roman"/>
          <w:color w:val="131413"/>
          <w:sz w:val="24"/>
          <w:szCs w:val="24"/>
        </w:rPr>
        <w:t>: Anemia, Visceral Leishmaniasis, Iron-folic acid supplementation and change of hemoglobin</w:t>
      </w:r>
    </w:p>
    <w:sectPr w:rsidR="0071007A" w:rsidRPr="0071007A" w:rsidSect="00643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yvgxAdvTTb5929f4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QrtjkjAdvTTaf7f9f4f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jhsyrAdvTTb5929f4c+22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revisionView w:inkAnnotations="0"/>
  <w:defaultTabStop w:val="720"/>
  <w:characterSpacingControl w:val="doNotCompress"/>
  <w:compat>
    <w:applyBreakingRules/>
  </w:compat>
  <w:rsids>
    <w:rsidRoot w:val="0071007A"/>
    <w:rsid w:val="000965D5"/>
    <w:rsid w:val="000B0C56"/>
    <w:rsid w:val="001D417E"/>
    <w:rsid w:val="00471CC0"/>
    <w:rsid w:val="006437FD"/>
    <w:rsid w:val="0071007A"/>
    <w:rsid w:val="00B25793"/>
    <w:rsid w:val="00CA2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0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0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</dc:creator>
  <cp:lastModifiedBy>tade</cp:lastModifiedBy>
  <cp:revision>1</cp:revision>
  <dcterms:created xsi:type="dcterms:W3CDTF">2019-03-17T08:11:00Z</dcterms:created>
  <dcterms:modified xsi:type="dcterms:W3CDTF">2019-03-17T08:26:00Z</dcterms:modified>
</cp:coreProperties>
</file>