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</w:rPr>
        <w:t>Seroprevalence of transfusion transmitted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</w:rPr>
        <w:t>infections among blood donors in Gash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</w:rPr>
        <w:t>Barka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</w:rPr>
        <w:t>Zonal Blood Transfusion Center,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</w:rPr>
        <w:t>Barentu, Eritrea, 2014 through 2017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 </w:t>
      </w:r>
    </w:p>
    <w:p>
      <w:pPr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crtdpAdvTTb5929f4c" w:cs="Times New Roman"/>
          <w:b w:val="0"/>
          <w:i w:val="0"/>
          <w:color w:val="131413"/>
          <w:sz w:val="22"/>
          <w:szCs w:val="22"/>
        </w:rPr>
        <w:t>Yacob Tesfamichael Keleta, Oliver Okoth Achila, Absera Woldu Haile, Bereket Habteslasie Gebrecherkos,</w:t>
      </w:r>
      <w:r>
        <w:rPr>
          <w:rFonts w:hint="default" w:ascii="Times New Roman" w:hAnsi="Times New Roman" w:eastAsia="ScrtdpAdvTTb5929f4c" w:cs="Times New Roman"/>
          <w:b w:val="0"/>
          <w:i w:val="0"/>
          <w:color w:val="131413"/>
          <w:sz w:val="22"/>
          <w:szCs w:val="22"/>
          <w:lang w:val="en-US"/>
        </w:rPr>
        <w:t xml:space="preserve"> </w:t>
      </w:r>
      <w:r>
        <w:rPr>
          <w:rFonts w:hint="default" w:ascii="Times New Roman" w:hAnsi="Times New Roman" w:eastAsia="ScrtdpAdvTTb5929f4c" w:cs="Times New Roman"/>
          <w:b w:val="0"/>
          <w:i w:val="0"/>
          <w:color w:val="131413"/>
          <w:sz w:val="22"/>
          <w:szCs w:val="22"/>
        </w:rPr>
        <w:t>Danait Tareke Tesfaldet, Kibrom Solomon Teklu, Mesuda Abrhum Mohammed</w:t>
      </w:r>
      <w:r>
        <w:rPr>
          <w:rStyle w:val="9"/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eastAsia="ScrtdpAdvTTb5929f4c" w:cs="Times New Roman"/>
          <w:b w:val="0"/>
          <w:i w:val="0"/>
          <w:color w:val="131413"/>
          <w:sz w:val="22"/>
          <w:szCs w:val="22"/>
        </w:rPr>
        <w:t>and Selihom Tesfaslase Ghedel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>
      <w:pPr>
        <w:jc w:val="both"/>
        <w:rPr>
          <w:rFonts w:hint="default" w:ascii="Times New Roman" w:hAnsi="Times New Roman" w:eastAsia="SjpdfpAdvTTaf7f9f4f . B" w:cs="Times New Roman"/>
          <w:b/>
          <w:bCs/>
          <w:i w:val="0"/>
          <w:color w:val="131413"/>
          <w:sz w:val="24"/>
          <w:szCs w:val="24"/>
        </w:rPr>
      </w:pPr>
    </w:p>
    <w:p>
      <w:pPr>
        <w:jc w:val="both"/>
        <w:rPr>
          <w:rFonts w:hint="default" w:ascii="Times New Roman" w:hAnsi="Times New Roman" w:eastAsia="SimSu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SjpdfpAdvTTaf7f9f4f . B" w:cs="Times New Roman"/>
          <w:b/>
          <w:bCs/>
          <w:i w:val="0"/>
          <w:color w:val="131413"/>
          <w:sz w:val="24"/>
          <w:szCs w:val="24"/>
        </w:rPr>
        <w:t>Abstract</w:t>
      </w:r>
      <w:r>
        <w:rPr>
          <w:rFonts w:hint="default" w:ascii="Times New Roman" w:hAnsi="Times New Roman" w:eastAsia="SjpdfpAdvTTaf7f9f4f . B" w:cs="Times New Roman"/>
          <w:b w:val="0"/>
          <w:i w:val="0"/>
          <w:color w:val="131413"/>
          <w:sz w:val="24"/>
          <w:szCs w:val="24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sz w:val="24"/>
          <w:szCs w:val="24"/>
        </w:rPr>
        <w:t>Background</w:t>
      </w:r>
      <w:r>
        <w:rPr>
          <w:rStyle w:val="5"/>
          <w:rFonts w:hint="default" w:ascii="Times New Roman" w:hAnsi="Times New Roman" w:cs="Times New Roman"/>
          <w:sz w:val="24"/>
          <w:szCs w:val="24"/>
        </w:rPr>
        <w:t xml:space="preserve">: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Transfusion-transmissible infections pose a major health risk in developing countries, including Eritrea.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In the present study, we sought to determine the prevalence of specific transfusion transmitted infections (TTIs) and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the associated risk factors among blood donors at a newly established regional blood transfusion center in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Barentu, Eritrea.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sz w:val="24"/>
          <w:szCs w:val="24"/>
        </w:rPr>
        <w:t>Methods</w:t>
      </w:r>
      <w:r>
        <w:rPr>
          <w:rStyle w:val="5"/>
          <w:rFonts w:hint="default" w:ascii="Times New Roman" w:hAnsi="Times New Roman" w:cs="Times New Roman"/>
          <w:sz w:val="24"/>
          <w:szCs w:val="24"/>
        </w:rPr>
        <w:t xml:space="preserve">: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The seroprevalence of markers for specific TTIs by sex, age, educational status, residence, occupation, and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donor type was evaluated for donors who donated blood between July 2014 and April 2017. The relationship between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TTIs and the stated factors was evaluated using the Pearson Chi-square test/Fishers exact test. Adjusted and unadjusted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binary logistic regression models were employed to estimate the odds ratio (OR) and 95% confidence interval (CI) for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 xml:space="preserve">the occurrence of TTIs. A two-sided </w:t>
      </w:r>
      <w:r>
        <w:rPr>
          <w:rStyle w:val="7"/>
          <w:rFonts w:hint="default" w:ascii="Times New Roman" w:hAnsi="Times New Roman" w:cs="Times New Roman"/>
          <w:sz w:val="24"/>
          <w:szCs w:val="24"/>
        </w:rPr>
        <w:t>p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-value &lt; 0.05 was considered statistically significant.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sz w:val="24"/>
          <w:szCs w:val="24"/>
        </w:rPr>
        <w:t>Result</w:t>
      </w:r>
      <w:r>
        <w:rPr>
          <w:rStyle w:val="5"/>
          <w:rFonts w:hint="default" w:ascii="Times New Roman" w:hAnsi="Times New Roman" w:cs="Times New Roman"/>
          <w:sz w:val="24"/>
          <w:szCs w:val="24"/>
        </w:rPr>
        <w:t xml:space="preserve">: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A total of 1939 donors were included in this study. Majority of the donors were males (88.2%), urban residents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(68.8%), greater than 25 years of age (67%), and family replacement blood donors (FRBD) (59.7%). Two hundred and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fifty (12.9%) donors were infected by at least one TTI. The cumulative seroprevalence of Human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immunodeficiency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virus, Hepatitis B virus, Hepatitis C virus and syphilis were 16 (0.8%), 97 (5%), 13 (0.7%) and 140 (7.2%), respectively. Out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of the total 266 infected donors, the prevalence of co-infection was 16 (0.8%). In the adjusted model, the OR and 95%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CI for the seropositivity for any TTI associated with age, no formal education, elementary school educational level, and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junior school educational level were 1.02 (95% CI: 1.01</w:t>
      </w:r>
      <w:r>
        <w:rPr>
          <w:rStyle w:val="8"/>
          <w:rFonts w:hint="default" w:ascii="Times New Roman" w:hAnsi="Times New Roman" w:cs="Times New Roman"/>
          <w:sz w:val="24"/>
          <w:szCs w:val="24"/>
        </w:rPr>
        <w:t>–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1.04), 4.4 (95% CI: 2.58</w:t>
      </w:r>
      <w:r>
        <w:rPr>
          <w:rStyle w:val="8"/>
          <w:rFonts w:hint="default" w:ascii="Times New Roman" w:hAnsi="Times New Roman" w:cs="Times New Roman"/>
          <w:sz w:val="24"/>
          <w:szCs w:val="24"/>
        </w:rPr>
        <w:t>–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7.49), 2.67 (95% CI: 1.49</w:t>
      </w:r>
      <w:r>
        <w:rPr>
          <w:rStyle w:val="8"/>
          <w:rFonts w:hint="default" w:ascii="Times New Roman" w:hAnsi="Times New Roman" w:cs="Times New Roman"/>
          <w:sz w:val="24"/>
          <w:szCs w:val="24"/>
        </w:rPr>
        <w:t>–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4.80), and 2.00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(95% CI: 1.14</w:t>
      </w:r>
      <w:r>
        <w:rPr>
          <w:rStyle w:val="8"/>
          <w:rFonts w:hint="default" w:ascii="Times New Roman" w:hAnsi="Times New Roman" w:cs="Times New Roman"/>
          <w:sz w:val="24"/>
          <w:szCs w:val="24"/>
        </w:rPr>
        <w:t>–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3.52), respectively. In addition, blood from FRBD had an increased likelihood of contamination with at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least one TTI, with an OR (95% CI) of 1.56 (1.10</w:t>
      </w:r>
      <w:r>
        <w:rPr>
          <w:rStyle w:val="8"/>
          <w:rFonts w:hint="default" w:ascii="Times New Roman" w:hAnsi="Times New Roman" w:cs="Times New Roman"/>
          <w:sz w:val="24"/>
          <w:szCs w:val="24"/>
        </w:rPr>
        <w:t>–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2.21).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sz w:val="24"/>
          <w:szCs w:val="24"/>
        </w:rPr>
        <w:t>Conclusion</w:t>
      </w:r>
      <w:r>
        <w:rPr>
          <w:rStyle w:val="5"/>
          <w:rFonts w:hint="default" w:ascii="Times New Roman" w:hAnsi="Times New Roman" w:cs="Times New Roman"/>
          <w:sz w:val="24"/>
          <w:szCs w:val="24"/>
        </w:rPr>
        <w:t xml:space="preserve">: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The prevalence of transfusion-transmissible infections is relatively high. In particular, specific groups in the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 xml:space="preserve">population appear to be disproportionally affected. </w:t>
      </w:r>
      <w:r>
        <w:rPr>
          <w:rStyle w:val="6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Therefore, targeted sensitization campaigns should be implementedin the future.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sz w:val="24"/>
          <w:szCs w:val="24"/>
        </w:rPr>
        <w:t>Keywords</w:t>
      </w:r>
      <w:r>
        <w:rPr>
          <w:rStyle w:val="5"/>
          <w:rFonts w:hint="default" w:ascii="Times New Roman" w:hAnsi="Times New Roman" w:cs="Times New Roman"/>
          <w:sz w:val="24"/>
          <w:szCs w:val="24"/>
        </w:rPr>
        <w:t xml:space="preserve">: </w:t>
      </w:r>
      <w:r>
        <w:rPr>
          <w:rStyle w:val="6"/>
          <w:rFonts w:hint="default" w:ascii="Times New Roman" w:hAnsi="Times New Roman" w:cs="Times New Roman"/>
          <w:sz w:val="24"/>
          <w:szCs w:val="24"/>
        </w:rPr>
        <w:t>Hepatitis B virus, Human immunodeficiency virus, Hepatitis C virus, Syphilis, blood donation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bkfhxAdvTTe45e47d2">
    <w:altName w:val="Geez Hiwu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cvwtgAdvTT99c4c969">
    <w:altName w:val="Geez Hiwu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crtdpAdvTTb5929f4c">
    <w:altName w:val="Geez Hiwu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hytkdAdvTT1b53b5fb . I">
    <w:altName w:val="Geez Hiwu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ckpwwAdvTTb5929f4c + 20">
    <w:altName w:val="Geez Hiwu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jpdfpAdvTTaf7f9f4f . B">
    <w:altName w:val="Geez Hiwu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ez Hiwua">
    <w:panose1 w:val="02000500000000000000"/>
    <w:charset w:val="00"/>
    <w:family w:val="auto"/>
    <w:pitch w:val="default"/>
    <w:sig w:usb0="8000000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13D09"/>
    <w:rsid w:val="48B13D09"/>
    <w:rsid w:val="55941A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qFormat/>
    <w:uiPriority w:val="0"/>
    <w:rPr>
      <w:rFonts w:ascii="CbkfhxAdvTTe45e47d2" w:hAnsi="CbkfhxAdvTTe45e47d2" w:eastAsia="CbkfhxAdvTTe45e47d2" w:cs="CbkfhxAdvTTe45e47d2"/>
      <w:color w:val="131413"/>
      <w:sz w:val="48"/>
      <w:szCs w:val="48"/>
    </w:rPr>
  </w:style>
  <w:style w:type="character" w:customStyle="1" w:styleId="5">
    <w:name w:val="fontstyle11"/>
    <w:uiPriority w:val="0"/>
    <w:rPr>
      <w:rFonts w:ascii="DcvwtgAdvTT99c4c969" w:hAnsi="DcvwtgAdvTT99c4c969" w:eastAsia="DcvwtgAdvTT99c4c969" w:cs="DcvwtgAdvTT99c4c969"/>
      <w:color w:val="131413"/>
      <w:sz w:val="20"/>
      <w:szCs w:val="20"/>
    </w:rPr>
  </w:style>
  <w:style w:type="character" w:customStyle="1" w:styleId="6">
    <w:name w:val="fontstyle31"/>
    <w:qFormat/>
    <w:uiPriority w:val="0"/>
    <w:rPr>
      <w:rFonts w:ascii="ScrtdpAdvTTb5929f4c" w:hAnsi="ScrtdpAdvTTb5929f4c" w:eastAsia="ScrtdpAdvTTb5929f4c" w:cs="ScrtdpAdvTTb5929f4c"/>
      <w:color w:val="131413"/>
      <w:sz w:val="20"/>
      <w:szCs w:val="20"/>
    </w:rPr>
  </w:style>
  <w:style w:type="character" w:customStyle="1" w:styleId="7">
    <w:name w:val="fontstyle41"/>
    <w:qFormat/>
    <w:uiPriority w:val="0"/>
    <w:rPr>
      <w:rFonts w:ascii="WhytkdAdvTT1b53b5fb . I" w:hAnsi="WhytkdAdvTT1b53b5fb . I" w:eastAsia="WhytkdAdvTT1b53b5fb . I" w:cs="WhytkdAdvTT1b53b5fb . I"/>
      <w:color w:val="131413"/>
      <w:sz w:val="20"/>
      <w:szCs w:val="20"/>
    </w:rPr>
  </w:style>
  <w:style w:type="character" w:customStyle="1" w:styleId="8">
    <w:name w:val="fontstyle51"/>
    <w:qFormat/>
    <w:uiPriority w:val="0"/>
    <w:rPr>
      <w:rFonts w:ascii="KckpwwAdvTTb5929f4c + 20" w:hAnsi="KckpwwAdvTTb5929f4c + 20" w:eastAsia="KckpwwAdvTTb5929f4c + 20" w:cs="KckpwwAdvTTb5929f4c + 20"/>
      <w:color w:val="131413"/>
      <w:sz w:val="20"/>
      <w:szCs w:val="20"/>
    </w:rPr>
  </w:style>
  <w:style w:type="character" w:customStyle="1" w:styleId="9">
    <w:name w:val="fontstyle21"/>
    <w:qFormat/>
    <w:uiPriority w:val="0"/>
    <w:rPr>
      <w:rFonts w:ascii="KckpwwAdvTTb5929f4c + 20" w:hAnsi="KckpwwAdvTTb5929f4c + 20" w:eastAsia="KckpwwAdvTTb5929f4c + 20" w:cs="KckpwwAdvTTb5929f4c + 20"/>
      <w:color w:val="131413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2019-06-12T01:05:00Z</dcterms:created>
  <dc:creator>Yacob</dc:creator>
  <cp:lastModifiedBy>Yacob</cp:lastModifiedBy>
  <dcterms:modified xsi:type="dcterms:W3CDTF">2019-06-12T01:20:39Z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