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A40" w:rsidRPr="00A9574E" w:rsidRDefault="00B63493" w:rsidP="00341EAB">
      <w:pPr>
        <w:tabs>
          <w:tab w:val="left" w:pos="2880"/>
          <w:tab w:val="left" w:pos="2881"/>
        </w:tabs>
        <w:spacing w:before="1" w:line="480" w:lineRule="auto"/>
        <w:ind w:right="1196"/>
        <w:jc w:val="both"/>
        <w:rPr>
          <w:rFonts w:ascii="Times New Roman" w:hAnsi="Times New Roman" w:cs="Times New Roman"/>
          <w:sz w:val="28"/>
          <w:szCs w:val="28"/>
        </w:rPr>
      </w:pPr>
      <w:r w:rsidRPr="00A9574E">
        <w:rPr>
          <w:rFonts w:ascii="Times New Roman" w:hAnsi="Times New Roman" w:cs="Times New Roman"/>
          <w:sz w:val="28"/>
          <w:szCs w:val="28"/>
        </w:rPr>
        <w:t>PREVALANCE OF THALASSEMIA SYNDROMES</w:t>
      </w:r>
      <w:r w:rsidR="00EB151B" w:rsidRPr="00A9574E">
        <w:rPr>
          <w:rFonts w:ascii="Times New Roman" w:hAnsi="Times New Roman" w:cs="Times New Roman"/>
          <w:sz w:val="28"/>
          <w:szCs w:val="28"/>
        </w:rPr>
        <w:t xml:space="preserve">, </w:t>
      </w:r>
      <w:r w:rsidRPr="00A9574E">
        <w:rPr>
          <w:rFonts w:ascii="Times New Roman" w:hAnsi="Times New Roman" w:cs="Times New Roman"/>
          <w:sz w:val="28"/>
          <w:szCs w:val="28"/>
        </w:rPr>
        <w:t>HEMOGLOBINOPATHIES</w:t>
      </w:r>
      <w:r w:rsidR="00757655">
        <w:rPr>
          <w:rFonts w:ascii="Times New Roman" w:hAnsi="Times New Roman" w:cs="Times New Roman"/>
          <w:sz w:val="28"/>
          <w:szCs w:val="28"/>
        </w:rPr>
        <w:t xml:space="preserve"> AND MUTATI</w:t>
      </w:r>
      <w:r w:rsidR="00EB151B" w:rsidRPr="00A9574E">
        <w:rPr>
          <w:rFonts w:ascii="Times New Roman" w:hAnsi="Times New Roman" w:cs="Times New Roman"/>
          <w:sz w:val="28"/>
          <w:szCs w:val="28"/>
        </w:rPr>
        <w:t>ON ANALYSIS</w:t>
      </w:r>
      <w:r w:rsidRPr="00A9574E">
        <w:rPr>
          <w:rFonts w:ascii="Times New Roman" w:hAnsi="Times New Roman" w:cs="Times New Roman"/>
          <w:sz w:val="28"/>
          <w:szCs w:val="28"/>
        </w:rPr>
        <w:t xml:space="preserve"> IN A TRIBAL SCHOOL IN INDIA</w:t>
      </w:r>
    </w:p>
    <w:p w:rsidR="00B63493" w:rsidRPr="00757655" w:rsidRDefault="00026EEC" w:rsidP="00341EAB">
      <w:pPr>
        <w:tabs>
          <w:tab w:val="left" w:pos="2880"/>
          <w:tab w:val="left" w:pos="2881"/>
        </w:tabs>
        <w:spacing w:before="1" w:line="480" w:lineRule="auto"/>
        <w:ind w:right="1196"/>
        <w:jc w:val="both"/>
        <w:rPr>
          <w:rFonts w:ascii="Times New Roman" w:hAnsi="Times New Roman" w:cs="Times New Roman"/>
          <w:sz w:val="24"/>
          <w:szCs w:val="24"/>
        </w:rPr>
      </w:pPr>
      <w:r w:rsidRPr="00757655">
        <w:rPr>
          <w:rFonts w:ascii="Times New Roman" w:hAnsi="Times New Roman" w:cs="Times New Roman"/>
          <w:sz w:val="24"/>
          <w:szCs w:val="24"/>
        </w:rPr>
        <w:t>DR AMARINDER OBEROI, M.B.B.S.,</w:t>
      </w:r>
      <w:r w:rsidR="00B63493" w:rsidRPr="00757655">
        <w:rPr>
          <w:rFonts w:ascii="Times New Roman" w:hAnsi="Times New Roman" w:cs="Times New Roman"/>
          <w:sz w:val="24"/>
          <w:szCs w:val="24"/>
        </w:rPr>
        <w:t>D.Ch</w:t>
      </w:r>
      <w:r w:rsidR="00585E77" w:rsidRPr="00757655">
        <w:rPr>
          <w:rFonts w:ascii="Times New Roman" w:hAnsi="Times New Roman" w:cs="Times New Roman"/>
          <w:sz w:val="24"/>
          <w:szCs w:val="24"/>
        </w:rPr>
        <w:t>, LILAVATI HOSPITAL AND RESEARCH CENTRE, MUMBAI.INDIA.</w:t>
      </w:r>
    </w:p>
    <w:p w:rsidR="00B63493" w:rsidRPr="00757655" w:rsidRDefault="00B63493" w:rsidP="00341EAB">
      <w:pPr>
        <w:tabs>
          <w:tab w:val="left" w:pos="2880"/>
          <w:tab w:val="left" w:pos="2881"/>
        </w:tabs>
        <w:spacing w:before="1" w:line="480" w:lineRule="auto"/>
        <w:ind w:right="1196"/>
        <w:jc w:val="both"/>
        <w:rPr>
          <w:rFonts w:ascii="Times New Roman" w:hAnsi="Times New Roman" w:cs="Times New Roman"/>
          <w:sz w:val="24"/>
          <w:szCs w:val="24"/>
        </w:rPr>
      </w:pPr>
      <w:r w:rsidRPr="00757655">
        <w:rPr>
          <w:rFonts w:ascii="Times New Roman" w:hAnsi="Times New Roman" w:cs="Times New Roman"/>
          <w:sz w:val="24"/>
          <w:szCs w:val="24"/>
        </w:rPr>
        <w:t>DR SWATI KANAKIA, M.B.B.S., D.CH. Phd.</w:t>
      </w:r>
      <w:r w:rsidR="00585E77" w:rsidRPr="00757655">
        <w:rPr>
          <w:rFonts w:ascii="Times New Roman" w:hAnsi="Times New Roman" w:cs="Times New Roman"/>
          <w:sz w:val="24"/>
          <w:szCs w:val="24"/>
        </w:rPr>
        <w:t xml:space="preserve">, </w:t>
      </w:r>
      <w:r w:rsidRPr="00757655">
        <w:rPr>
          <w:rFonts w:ascii="Times New Roman" w:hAnsi="Times New Roman" w:cs="Times New Roman"/>
          <w:sz w:val="24"/>
          <w:szCs w:val="24"/>
        </w:rPr>
        <w:t>LILAVATI HOSPITAL AND RESEARCH CENTRE, MUMBAI.INDIA.</w:t>
      </w:r>
    </w:p>
    <w:p w:rsidR="003B3A40" w:rsidRPr="00A9574E" w:rsidRDefault="003B3A40" w:rsidP="00341EAB">
      <w:pPr>
        <w:tabs>
          <w:tab w:val="left" w:pos="2880"/>
          <w:tab w:val="left" w:pos="2881"/>
        </w:tabs>
        <w:spacing w:before="1" w:line="480" w:lineRule="auto"/>
        <w:ind w:right="1196"/>
        <w:jc w:val="both"/>
        <w:rPr>
          <w:rFonts w:ascii="Times New Roman" w:hAnsi="Times New Roman" w:cs="Times New Roman"/>
          <w:sz w:val="28"/>
          <w:szCs w:val="28"/>
        </w:rPr>
      </w:pPr>
    </w:p>
    <w:p w:rsidR="008C2BE6" w:rsidRPr="00A9574E" w:rsidRDefault="00181A6E" w:rsidP="00341EAB">
      <w:pPr>
        <w:tabs>
          <w:tab w:val="left" w:pos="2880"/>
          <w:tab w:val="left" w:pos="2881"/>
        </w:tabs>
        <w:spacing w:before="1" w:line="480" w:lineRule="auto"/>
        <w:ind w:right="1196"/>
        <w:jc w:val="both"/>
        <w:rPr>
          <w:rFonts w:ascii="Times New Roman" w:hAnsi="Times New Roman" w:cs="Times New Roman"/>
          <w:sz w:val="28"/>
          <w:szCs w:val="28"/>
        </w:rPr>
      </w:pPr>
      <w:r w:rsidRPr="00A9574E">
        <w:rPr>
          <w:rFonts w:ascii="Times New Roman" w:hAnsi="Times New Roman" w:cs="Times New Roman"/>
          <w:sz w:val="28"/>
          <w:szCs w:val="28"/>
        </w:rPr>
        <w:t>Introduction:</w:t>
      </w:r>
    </w:p>
    <w:p w:rsidR="00157AC8" w:rsidRPr="00A9574E" w:rsidRDefault="00157AC8" w:rsidP="00341EAB">
      <w:pPr>
        <w:tabs>
          <w:tab w:val="left" w:pos="2880"/>
          <w:tab w:val="left" w:pos="2881"/>
        </w:tabs>
        <w:spacing w:before="1" w:line="480" w:lineRule="auto"/>
        <w:ind w:right="1196"/>
        <w:jc w:val="both"/>
        <w:rPr>
          <w:rFonts w:ascii="Times New Roman" w:hAnsi="Times New Roman" w:cs="Times New Roman"/>
          <w:sz w:val="28"/>
          <w:szCs w:val="28"/>
        </w:rPr>
      </w:pPr>
      <w:r w:rsidRPr="00A9574E">
        <w:rPr>
          <w:rFonts w:ascii="Times New Roman" w:hAnsi="Times New Roman" w:cs="Times New Roman"/>
          <w:sz w:val="28"/>
          <w:szCs w:val="28"/>
        </w:rPr>
        <w:t xml:space="preserve">Thalassemia and other hemoglobinopathies are the most common monogenic disorders in India </w:t>
      </w:r>
      <w:r w:rsidR="003B3A40" w:rsidRPr="00A9574E">
        <w:rPr>
          <w:rFonts w:ascii="Times New Roman" w:hAnsi="Times New Roman" w:cs="Times New Roman"/>
          <w:sz w:val="28"/>
          <w:szCs w:val="28"/>
        </w:rPr>
        <w:t xml:space="preserve">with a high prevalence </w:t>
      </w:r>
      <w:r w:rsidR="0077094E" w:rsidRPr="00A9574E">
        <w:rPr>
          <w:rFonts w:ascii="Times New Roman" w:hAnsi="Times New Roman" w:cs="Times New Roman"/>
          <w:sz w:val="28"/>
          <w:szCs w:val="28"/>
        </w:rPr>
        <w:t>in tri</w:t>
      </w:r>
      <w:r w:rsidR="003B3A40" w:rsidRPr="00A9574E">
        <w:rPr>
          <w:rFonts w:ascii="Times New Roman" w:hAnsi="Times New Roman" w:cs="Times New Roman"/>
          <w:sz w:val="28"/>
          <w:szCs w:val="28"/>
        </w:rPr>
        <w:t>bal populations.</w:t>
      </w:r>
    </w:p>
    <w:p w:rsidR="008C2BE6" w:rsidRPr="00A9574E" w:rsidRDefault="008C2BE6" w:rsidP="00341EAB">
      <w:pPr>
        <w:tabs>
          <w:tab w:val="left" w:pos="2880"/>
          <w:tab w:val="left" w:pos="2881"/>
        </w:tabs>
        <w:spacing w:before="1" w:line="480" w:lineRule="auto"/>
        <w:ind w:right="1196"/>
        <w:jc w:val="both"/>
        <w:rPr>
          <w:rFonts w:ascii="Times New Roman" w:hAnsi="Times New Roman" w:cs="Times New Roman"/>
          <w:sz w:val="28"/>
          <w:szCs w:val="28"/>
        </w:rPr>
      </w:pPr>
      <w:r w:rsidRPr="00A9574E">
        <w:rPr>
          <w:rFonts w:ascii="Times New Roman" w:hAnsi="Times New Roman" w:cs="Times New Roman"/>
          <w:sz w:val="28"/>
          <w:szCs w:val="28"/>
        </w:rPr>
        <w:t>Aims and Objectives:</w:t>
      </w:r>
    </w:p>
    <w:p w:rsidR="00341E8F" w:rsidRPr="00A9574E" w:rsidRDefault="00341E8F" w:rsidP="00341EAB">
      <w:pPr>
        <w:tabs>
          <w:tab w:val="left" w:pos="2880"/>
          <w:tab w:val="left" w:pos="2881"/>
        </w:tabs>
        <w:spacing w:before="1" w:line="480" w:lineRule="auto"/>
        <w:ind w:right="1196"/>
        <w:jc w:val="both"/>
        <w:rPr>
          <w:rFonts w:ascii="Times New Roman" w:hAnsi="Times New Roman" w:cs="Times New Roman"/>
          <w:sz w:val="28"/>
          <w:szCs w:val="28"/>
        </w:rPr>
      </w:pPr>
      <w:r w:rsidRPr="00A9574E">
        <w:rPr>
          <w:rFonts w:ascii="Times New Roman" w:hAnsi="Times New Roman" w:cs="Times New Roman"/>
          <w:sz w:val="28"/>
          <w:szCs w:val="28"/>
        </w:rPr>
        <w:t xml:space="preserve">To detect the prevalence of Thalassemia Syndromes and  Sickle Cell Anemia </w:t>
      </w:r>
      <w:r w:rsidRPr="00A9574E">
        <w:rPr>
          <w:rFonts w:ascii="Times New Roman" w:hAnsi="Times New Roman" w:cs="Times New Roman"/>
          <w:spacing w:val="-3"/>
          <w:sz w:val="28"/>
          <w:szCs w:val="28"/>
        </w:rPr>
        <w:t xml:space="preserve">in </w:t>
      </w:r>
      <w:r w:rsidRPr="00A9574E">
        <w:rPr>
          <w:rFonts w:ascii="Times New Roman" w:hAnsi="Times New Roman" w:cs="Times New Roman"/>
          <w:sz w:val="28"/>
          <w:szCs w:val="28"/>
        </w:rPr>
        <w:t xml:space="preserve">a tribal school population </w:t>
      </w:r>
      <w:r w:rsidR="008C2BE6" w:rsidRPr="00A9574E">
        <w:rPr>
          <w:rFonts w:ascii="Times New Roman" w:hAnsi="Times New Roman" w:cs="Times New Roman"/>
          <w:spacing w:val="-3"/>
          <w:sz w:val="28"/>
          <w:szCs w:val="28"/>
        </w:rPr>
        <w:t>of</w:t>
      </w:r>
      <w:r w:rsidRPr="00A9574E">
        <w:rPr>
          <w:rFonts w:ascii="Times New Roman" w:hAnsi="Times New Roman" w:cs="Times New Roman"/>
          <w:sz w:val="28"/>
          <w:szCs w:val="28"/>
        </w:rPr>
        <w:t xml:space="preserve"> adolescent age</w:t>
      </w:r>
      <w:r w:rsidR="008C2BE6" w:rsidRPr="00A9574E">
        <w:rPr>
          <w:rFonts w:ascii="Times New Roman" w:hAnsi="Times New Roman" w:cs="Times New Roman"/>
          <w:sz w:val="28"/>
          <w:szCs w:val="28"/>
        </w:rPr>
        <w:t xml:space="preserve"> group</w:t>
      </w:r>
      <w:r w:rsidRPr="00A9574E">
        <w:rPr>
          <w:rFonts w:ascii="Times New Roman" w:hAnsi="Times New Roman" w:cs="Times New Roman"/>
          <w:sz w:val="28"/>
          <w:szCs w:val="28"/>
        </w:rPr>
        <w:t xml:space="preserve"> and Mutation Analysis of the positive cases.</w:t>
      </w:r>
    </w:p>
    <w:p w:rsidR="004155F1" w:rsidRPr="00A9574E" w:rsidRDefault="004155F1" w:rsidP="00341EAB">
      <w:pPr>
        <w:tabs>
          <w:tab w:val="left" w:pos="2880"/>
          <w:tab w:val="left" w:pos="2881"/>
        </w:tabs>
        <w:spacing w:before="1" w:line="480" w:lineRule="auto"/>
        <w:ind w:right="1196"/>
        <w:jc w:val="both"/>
        <w:rPr>
          <w:rFonts w:ascii="Times New Roman" w:hAnsi="Times New Roman" w:cs="Times New Roman"/>
          <w:sz w:val="28"/>
          <w:szCs w:val="28"/>
        </w:rPr>
      </w:pPr>
      <w:r w:rsidRPr="00A9574E">
        <w:rPr>
          <w:rFonts w:ascii="Times New Roman" w:hAnsi="Times New Roman" w:cs="Times New Roman"/>
          <w:sz w:val="28"/>
          <w:szCs w:val="28"/>
        </w:rPr>
        <w:t>Materials and Methods:</w:t>
      </w:r>
    </w:p>
    <w:p w:rsidR="00A56FEB" w:rsidRPr="00A9574E" w:rsidRDefault="00C3067F" w:rsidP="00341EAB">
      <w:pPr>
        <w:tabs>
          <w:tab w:val="left" w:pos="3602"/>
        </w:tabs>
        <w:spacing w:before="3" w:line="480" w:lineRule="auto"/>
        <w:ind w:right="1203"/>
        <w:jc w:val="both"/>
        <w:rPr>
          <w:rFonts w:ascii="Times New Roman" w:hAnsi="Times New Roman" w:cs="Times New Roman"/>
          <w:sz w:val="28"/>
          <w:szCs w:val="28"/>
        </w:rPr>
      </w:pPr>
      <w:r w:rsidRPr="00A957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This study was conducted on 211 children </w:t>
      </w:r>
      <w:r w:rsidR="0088463E" w:rsidRPr="00A9574E">
        <w:rPr>
          <w:rFonts w:ascii="Times New Roman" w:hAnsi="Times New Roman" w:cs="Times New Roman"/>
          <w:sz w:val="28"/>
          <w:szCs w:val="28"/>
        </w:rPr>
        <w:t>aged 10-14 years</w:t>
      </w:r>
      <w:r w:rsidRPr="00A9574E">
        <w:rPr>
          <w:rFonts w:ascii="Times New Roman" w:hAnsi="Times New Roman" w:cs="Times New Roman"/>
          <w:sz w:val="28"/>
          <w:szCs w:val="28"/>
        </w:rPr>
        <w:t xml:space="preserve"> from </w:t>
      </w:r>
      <w:r w:rsidR="0088463E" w:rsidRPr="00A9574E">
        <w:rPr>
          <w:rFonts w:ascii="Times New Roman" w:hAnsi="Times New Roman" w:cs="Times New Roman"/>
          <w:sz w:val="28"/>
          <w:szCs w:val="28"/>
        </w:rPr>
        <w:t>a tribal</w:t>
      </w:r>
      <w:r w:rsidRPr="00A9574E">
        <w:rPr>
          <w:rFonts w:ascii="Times New Roman" w:hAnsi="Times New Roman" w:cs="Times New Roman"/>
          <w:sz w:val="28"/>
          <w:szCs w:val="28"/>
        </w:rPr>
        <w:t xml:space="preserve"> </w:t>
      </w:r>
      <w:r w:rsidR="00553D4A" w:rsidRPr="00A9574E">
        <w:rPr>
          <w:rFonts w:ascii="Times New Roman" w:hAnsi="Times New Roman" w:cs="Times New Roman"/>
          <w:sz w:val="28"/>
          <w:szCs w:val="28"/>
        </w:rPr>
        <w:t>school in</w:t>
      </w:r>
      <w:r w:rsidR="0088463E" w:rsidRPr="00A9574E">
        <w:rPr>
          <w:rFonts w:ascii="Times New Roman" w:hAnsi="Times New Roman" w:cs="Times New Roman"/>
          <w:sz w:val="28"/>
          <w:szCs w:val="28"/>
        </w:rPr>
        <w:t xml:space="preserve"> </w:t>
      </w:r>
      <w:r w:rsidRPr="00A9574E">
        <w:rPr>
          <w:rFonts w:ascii="Times New Roman" w:hAnsi="Times New Roman" w:cs="Times New Roman"/>
          <w:sz w:val="28"/>
          <w:szCs w:val="28"/>
        </w:rPr>
        <w:t>the state Maharashtra</w:t>
      </w:r>
      <w:r w:rsidR="00393C9D" w:rsidRPr="00A9574E">
        <w:rPr>
          <w:rFonts w:ascii="Times New Roman" w:hAnsi="Times New Roman" w:cs="Times New Roman"/>
          <w:sz w:val="28"/>
          <w:szCs w:val="28"/>
        </w:rPr>
        <w:t xml:space="preserve">, </w:t>
      </w:r>
      <w:r w:rsidRPr="00A9574E">
        <w:rPr>
          <w:rFonts w:ascii="Times New Roman" w:hAnsi="Times New Roman" w:cs="Times New Roman"/>
          <w:sz w:val="28"/>
          <w:szCs w:val="28"/>
        </w:rPr>
        <w:t>India.</w:t>
      </w:r>
      <w:r w:rsidR="00553D4A" w:rsidRPr="00A957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957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After taking clinical history, complete hemogram report was obtained by an automated cell counter. High-performance liquid chromatography (HPLC) was performed on the samples with </w:t>
      </w:r>
      <w:r w:rsidRPr="00A9574E">
        <w:rPr>
          <w:rFonts w:ascii="Times New Roman" w:hAnsi="Times New Roman" w:cs="Times New Roman"/>
          <w:sz w:val="28"/>
          <w:szCs w:val="28"/>
        </w:rPr>
        <w:t>Bio Rad D-10™ Analyser</w:t>
      </w:r>
      <w:r w:rsidRPr="00A957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A56FEB" w:rsidRPr="00A957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The samples with abnormal </w:t>
      </w:r>
      <w:r w:rsidR="00393C9D" w:rsidRPr="00A957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electrophoresis</w:t>
      </w:r>
      <w:r w:rsidR="00A56FEB" w:rsidRPr="00A957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patterns were subjected to </w:t>
      </w:r>
      <w:r w:rsidR="00A56FEB" w:rsidRPr="00A9574E">
        <w:rPr>
          <w:rFonts w:ascii="Times New Roman" w:hAnsi="Times New Roman" w:cs="Times New Roman"/>
          <w:sz w:val="28"/>
          <w:szCs w:val="28"/>
        </w:rPr>
        <w:t>Next Generation Sequencing of HBH gene for mutation</w:t>
      </w:r>
      <w:r w:rsidR="00A56FEB" w:rsidRPr="00A9574E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A56FEB" w:rsidRPr="00A9574E">
        <w:rPr>
          <w:rFonts w:ascii="Times New Roman" w:hAnsi="Times New Roman" w:cs="Times New Roman"/>
          <w:sz w:val="28"/>
          <w:szCs w:val="28"/>
        </w:rPr>
        <w:t>analysis.</w:t>
      </w:r>
    </w:p>
    <w:p w:rsidR="00C00B36" w:rsidRPr="00A9574E" w:rsidRDefault="00C00B36" w:rsidP="00341EAB">
      <w:pPr>
        <w:tabs>
          <w:tab w:val="left" w:pos="3602"/>
        </w:tabs>
        <w:spacing w:before="3" w:line="480" w:lineRule="auto"/>
        <w:ind w:right="1203"/>
        <w:jc w:val="both"/>
        <w:rPr>
          <w:rFonts w:ascii="Times New Roman" w:hAnsi="Times New Roman" w:cs="Times New Roman"/>
          <w:sz w:val="28"/>
          <w:szCs w:val="28"/>
        </w:rPr>
      </w:pPr>
      <w:r w:rsidRPr="00A9574E">
        <w:rPr>
          <w:rFonts w:ascii="Times New Roman" w:hAnsi="Times New Roman" w:cs="Times New Roman"/>
          <w:sz w:val="28"/>
          <w:szCs w:val="28"/>
        </w:rPr>
        <w:t>Results:</w:t>
      </w:r>
    </w:p>
    <w:p w:rsidR="00C00B36" w:rsidRPr="00A9574E" w:rsidRDefault="00C00B36" w:rsidP="00341EAB">
      <w:pPr>
        <w:tabs>
          <w:tab w:val="left" w:pos="3602"/>
        </w:tabs>
        <w:spacing w:before="3" w:line="480" w:lineRule="auto"/>
        <w:ind w:right="1203"/>
        <w:jc w:val="both"/>
        <w:rPr>
          <w:rFonts w:ascii="Times New Roman" w:hAnsi="Times New Roman" w:cs="Times New Roman"/>
          <w:sz w:val="28"/>
          <w:szCs w:val="28"/>
        </w:rPr>
      </w:pPr>
      <w:r w:rsidRPr="00A9574E">
        <w:rPr>
          <w:rFonts w:ascii="Times New Roman" w:hAnsi="Times New Roman" w:cs="Times New Roman"/>
          <w:sz w:val="28"/>
          <w:szCs w:val="28"/>
        </w:rPr>
        <w:t>Of the 211 students sampled, 193 (91.5%) had a normal electrophoresis pattern</w:t>
      </w:r>
      <w:r w:rsidR="00B538D0" w:rsidRPr="00A9574E">
        <w:rPr>
          <w:rFonts w:ascii="Times New Roman" w:hAnsi="Times New Roman" w:cs="Times New Roman"/>
          <w:sz w:val="28"/>
          <w:szCs w:val="28"/>
        </w:rPr>
        <w:t xml:space="preserve"> and abnormalities were detected in 18 (8.5%) cases</w:t>
      </w:r>
      <w:r w:rsidRPr="00A9574E">
        <w:rPr>
          <w:rFonts w:ascii="Times New Roman" w:hAnsi="Times New Roman" w:cs="Times New Roman"/>
          <w:sz w:val="28"/>
          <w:szCs w:val="28"/>
        </w:rPr>
        <w:t xml:space="preserve">. </w:t>
      </w:r>
      <w:r w:rsidRPr="00A957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β (beta) thalassemia trait was the commonest abnormality found in 16 (</w:t>
      </w:r>
      <w:r w:rsidRPr="00A9574E">
        <w:rPr>
          <w:rFonts w:ascii="Times New Roman" w:hAnsi="Times New Roman" w:cs="Times New Roman"/>
          <w:sz w:val="28"/>
          <w:szCs w:val="28"/>
        </w:rPr>
        <w:t>7.6 %</w:t>
      </w:r>
      <w:r w:rsidR="00B538D0" w:rsidRPr="00A9574E">
        <w:rPr>
          <w:rFonts w:ascii="Times New Roman" w:hAnsi="Times New Roman" w:cs="Times New Roman"/>
          <w:sz w:val="28"/>
          <w:szCs w:val="28"/>
        </w:rPr>
        <w:t>) children</w:t>
      </w:r>
      <w:r w:rsidRPr="00A957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A9574E">
        <w:rPr>
          <w:rFonts w:ascii="Times New Roman" w:hAnsi="Times New Roman" w:cs="Times New Roman"/>
          <w:sz w:val="28"/>
          <w:szCs w:val="28"/>
        </w:rPr>
        <w:t>Heterozygous Sickle Cell and Alpha Thalassemia were found in 1 (0.5%) case each.</w:t>
      </w:r>
    </w:p>
    <w:p w:rsidR="00CB33FD" w:rsidRPr="00A9574E" w:rsidRDefault="00F3556B" w:rsidP="00341EAB">
      <w:pPr>
        <w:pStyle w:val="BodyText"/>
        <w:spacing w:line="480" w:lineRule="auto"/>
        <w:ind w:right="1192"/>
        <w:jc w:val="both"/>
        <w:rPr>
          <w:sz w:val="28"/>
          <w:szCs w:val="28"/>
        </w:rPr>
      </w:pPr>
      <w:r w:rsidRPr="00A9574E">
        <w:rPr>
          <w:sz w:val="28"/>
          <w:szCs w:val="28"/>
        </w:rPr>
        <w:t xml:space="preserve">Of the 16 </w:t>
      </w:r>
      <w:r w:rsidR="00CB33FD" w:rsidRPr="00A9574E">
        <w:rPr>
          <w:sz w:val="28"/>
          <w:szCs w:val="28"/>
        </w:rPr>
        <w:t>Thalassemia trait</w:t>
      </w:r>
      <w:r w:rsidRPr="00A9574E">
        <w:rPr>
          <w:sz w:val="28"/>
          <w:szCs w:val="28"/>
        </w:rPr>
        <w:t>s, 13 (81.25%) had</w:t>
      </w:r>
      <w:r w:rsidR="00CB33FD" w:rsidRPr="00A9574E">
        <w:rPr>
          <w:sz w:val="28"/>
          <w:szCs w:val="28"/>
        </w:rPr>
        <w:t xml:space="preserve"> IVS1</w:t>
      </w:r>
      <w:r w:rsidRPr="00A9574E">
        <w:rPr>
          <w:sz w:val="28"/>
          <w:szCs w:val="28"/>
        </w:rPr>
        <w:t>-5(G&gt;C) mutation</w:t>
      </w:r>
      <w:r w:rsidR="00CB33FD" w:rsidRPr="00A9574E">
        <w:rPr>
          <w:sz w:val="28"/>
          <w:szCs w:val="28"/>
        </w:rPr>
        <w:t>, followed by c.47G&gt;A (p. Trp16Ter) in 2 students (</w:t>
      </w:r>
      <w:r w:rsidRPr="00A9574E">
        <w:rPr>
          <w:sz w:val="28"/>
          <w:szCs w:val="28"/>
        </w:rPr>
        <w:t>12.5%</w:t>
      </w:r>
      <w:r w:rsidR="00CB33FD" w:rsidRPr="00A9574E">
        <w:rPr>
          <w:sz w:val="28"/>
          <w:szCs w:val="28"/>
        </w:rPr>
        <w:t>)</w:t>
      </w:r>
      <w:r w:rsidRPr="00A9574E">
        <w:rPr>
          <w:sz w:val="28"/>
          <w:szCs w:val="28"/>
        </w:rPr>
        <w:t xml:space="preserve"> and </w:t>
      </w:r>
      <w:r w:rsidR="00CB33FD" w:rsidRPr="00A9574E">
        <w:rPr>
          <w:sz w:val="28"/>
          <w:szCs w:val="28"/>
        </w:rPr>
        <w:t>IVS1-1(G&gt;T) c.92+1G&gt;T</w:t>
      </w:r>
      <w:r w:rsidRPr="00A9574E">
        <w:rPr>
          <w:sz w:val="28"/>
          <w:szCs w:val="28"/>
        </w:rPr>
        <w:t xml:space="preserve"> in</w:t>
      </w:r>
      <w:r w:rsidR="00CB33FD" w:rsidRPr="00A9574E">
        <w:rPr>
          <w:sz w:val="28"/>
          <w:szCs w:val="28"/>
        </w:rPr>
        <w:t xml:space="preserve"> </w:t>
      </w:r>
      <w:r w:rsidRPr="00A9574E">
        <w:rPr>
          <w:sz w:val="28"/>
          <w:szCs w:val="28"/>
        </w:rPr>
        <w:t>1student (</w:t>
      </w:r>
      <w:r w:rsidR="00CB33FD" w:rsidRPr="00A9574E">
        <w:rPr>
          <w:sz w:val="28"/>
          <w:szCs w:val="28"/>
        </w:rPr>
        <w:t>6.25%). The one sickle heterozygote had c.20A&gt;T (p.Glu7Val) mutation.</w:t>
      </w:r>
    </w:p>
    <w:p w:rsidR="000A4E3C" w:rsidRPr="00A9574E" w:rsidRDefault="000A4E3C" w:rsidP="00341EAB">
      <w:pPr>
        <w:tabs>
          <w:tab w:val="left" w:pos="3602"/>
        </w:tabs>
        <w:spacing w:before="3" w:line="480" w:lineRule="auto"/>
        <w:ind w:right="1203"/>
        <w:jc w:val="both"/>
        <w:rPr>
          <w:rFonts w:ascii="Times New Roman" w:hAnsi="Times New Roman" w:cs="Times New Roman"/>
          <w:sz w:val="28"/>
          <w:szCs w:val="28"/>
        </w:rPr>
      </w:pPr>
    </w:p>
    <w:p w:rsidR="00B538D0" w:rsidRPr="00A9574E" w:rsidRDefault="000A4E3C" w:rsidP="00341EAB">
      <w:pPr>
        <w:tabs>
          <w:tab w:val="left" w:pos="3602"/>
        </w:tabs>
        <w:spacing w:before="3" w:line="480" w:lineRule="auto"/>
        <w:ind w:right="1203"/>
        <w:jc w:val="both"/>
        <w:rPr>
          <w:rFonts w:ascii="Times New Roman" w:hAnsi="Times New Roman" w:cs="Times New Roman"/>
          <w:sz w:val="28"/>
          <w:szCs w:val="28"/>
        </w:rPr>
      </w:pPr>
      <w:r w:rsidRPr="00A9574E">
        <w:rPr>
          <w:rFonts w:ascii="Times New Roman" w:hAnsi="Times New Roman" w:cs="Times New Roman"/>
          <w:sz w:val="28"/>
          <w:szCs w:val="28"/>
        </w:rPr>
        <w:t>Conclusion:</w:t>
      </w:r>
    </w:p>
    <w:p w:rsidR="000A4E3C" w:rsidRPr="00A9574E" w:rsidRDefault="00CA5F25" w:rsidP="00341EAB">
      <w:pPr>
        <w:pStyle w:val="BodyText"/>
        <w:spacing w:line="480" w:lineRule="auto"/>
        <w:jc w:val="both"/>
        <w:rPr>
          <w:sz w:val="28"/>
          <w:szCs w:val="28"/>
        </w:rPr>
      </w:pPr>
      <w:r w:rsidRPr="00A9574E">
        <w:rPr>
          <w:sz w:val="28"/>
          <w:szCs w:val="28"/>
        </w:rPr>
        <w:lastRenderedPageBreak/>
        <w:t>H</w:t>
      </w:r>
      <w:r w:rsidR="000A4E3C" w:rsidRPr="00A9574E">
        <w:rPr>
          <w:sz w:val="28"/>
          <w:szCs w:val="28"/>
        </w:rPr>
        <w:t>igh freque</w:t>
      </w:r>
      <w:r w:rsidRPr="00A9574E">
        <w:rPr>
          <w:sz w:val="28"/>
          <w:szCs w:val="28"/>
        </w:rPr>
        <w:t>ncies of these mutant alleles are</w:t>
      </w:r>
      <w:r w:rsidR="000A4E3C" w:rsidRPr="00A9574E">
        <w:rPr>
          <w:sz w:val="28"/>
          <w:szCs w:val="28"/>
        </w:rPr>
        <w:t xml:space="preserve"> maintained by the tribal populations probably due to consanguinity</w:t>
      </w:r>
      <w:r w:rsidR="00157AC8" w:rsidRPr="00A9574E">
        <w:rPr>
          <w:sz w:val="28"/>
          <w:szCs w:val="28"/>
        </w:rPr>
        <w:t xml:space="preserve">, lack of awareness and </w:t>
      </w:r>
      <w:r w:rsidR="00553D4A" w:rsidRPr="00A9574E">
        <w:rPr>
          <w:sz w:val="28"/>
          <w:szCs w:val="28"/>
        </w:rPr>
        <w:t>conveyance;</w:t>
      </w:r>
      <w:r w:rsidR="00157AC8" w:rsidRPr="00A9574E">
        <w:rPr>
          <w:sz w:val="28"/>
          <w:szCs w:val="28"/>
        </w:rPr>
        <w:t xml:space="preserve"> low income status and high cost of treatment make them vulnerable.</w:t>
      </w:r>
      <w:r w:rsidR="0064476D" w:rsidRPr="00A9574E">
        <w:rPr>
          <w:sz w:val="28"/>
          <w:szCs w:val="28"/>
        </w:rPr>
        <w:t xml:space="preserve"> </w:t>
      </w:r>
      <w:r w:rsidR="00547840" w:rsidRPr="00A9574E">
        <w:rPr>
          <w:sz w:val="28"/>
          <w:szCs w:val="28"/>
        </w:rPr>
        <w:t>These groups must undergo premarital screening to decrease the risk bearing offspring with hemoglobinopathies.</w:t>
      </w:r>
    </w:p>
    <w:p w:rsidR="000A4E3C" w:rsidRPr="00A9574E" w:rsidRDefault="000A4E3C" w:rsidP="00341EAB">
      <w:pPr>
        <w:tabs>
          <w:tab w:val="left" w:pos="3602"/>
        </w:tabs>
        <w:spacing w:before="3" w:line="480" w:lineRule="auto"/>
        <w:ind w:right="1203"/>
        <w:jc w:val="both"/>
        <w:rPr>
          <w:rFonts w:ascii="Times New Roman" w:hAnsi="Times New Roman" w:cs="Times New Roman"/>
          <w:sz w:val="28"/>
          <w:szCs w:val="28"/>
        </w:rPr>
      </w:pPr>
    </w:p>
    <w:p w:rsidR="00A56FEB" w:rsidRPr="00A9574E" w:rsidRDefault="00341EAB" w:rsidP="00341EAB">
      <w:pPr>
        <w:pStyle w:val="BodyText"/>
        <w:spacing w:before="8"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8F7AA6" w:rsidRPr="00A9574E">
        <w:rPr>
          <w:sz w:val="28"/>
          <w:szCs w:val="28"/>
        </w:rPr>
        <w:t>RECENT PUBLICATIONS:</w:t>
      </w:r>
    </w:p>
    <w:p w:rsidR="008F7AA6" w:rsidRPr="00A9574E" w:rsidRDefault="008F7AA6" w:rsidP="00341EAB">
      <w:pPr>
        <w:pStyle w:val="ListParagraph"/>
        <w:numPr>
          <w:ilvl w:val="0"/>
          <w:numId w:val="3"/>
        </w:numPr>
        <w:tabs>
          <w:tab w:val="left" w:pos="2031"/>
        </w:tabs>
        <w:spacing w:before="194" w:line="480" w:lineRule="auto"/>
        <w:ind w:right="1201"/>
        <w:jc w:val="both"/>
        <w:rPr>
          <w:sz w:val="28"/>
          <w:szCs w:val="28"/>
        </w:rPr>
      </w:pPr>
      <w:r w:rsidRPr="00A9574E">
        <w:rPr>
          <w:sz w:val="28"/>
          <w:szCs w:val="28"/>
        </w:rPr>
        <w:t xml:space="preserve">Mohanty D, Colah RB, Gorakshakar </w:t>
      </w:r>
      <w:r w:rsidRPr="00A9574E">
        <w:rPr>
          <w:spacing w:val="-3"/>
          <w:sz w:val="28"/>
          <w:szCs w:val="28"/>
        </w:rPr>
        <w:t xml:space="preserve">AC, </w:t>
      </w:r>
      <w:r w:rsidRPr="00A9574E">
        <w:rPr>
          <w:sz w:val="28"/>
          <w:szCs w:val="28"/>
        </w:rPr>
        <w:t xml:space="preserve">Patel RZ et </w:t>
      </w:r>
      <w:r w:rsidRPr="00A9574E">
        <w:rPr>
          <w:spacing w:val="-4"/>
          <w:sz w:val="28"/>
          <w:szCs w:val="28"/>
        </w:rPr>
        <w:t xml:space="preserve">al. </w:t>
      </w:r>
      <w:r w:rsidRPr="00A9574E">
        <w:rPr>
          <w:sz w:val="28"/>
          <w:szCs w:val="28"/>
        </w:rPr>
        <w:t xml:space="preserve">Prevalence </w:t>
      </w:r>
      <w:r w:rsidRPr="00A9574E">
        <w:rPr>
          <w:spacing w:val="4"/>
          <w:sz w:val="28"/>
          <w:szCs w:val="28"/>
        </w:rPr>
        <w:t xml:space="preserve">of </w:t>
      </w:r>
      <w:r w:rsidRPr="00A9574E">
        <w:rPr>
          <w:sz w:val="28"/>
          <w:szCs w:val="28"/>
        </w:rPr>
        <w:t xml:space="preserve">β-thalassemia and other haemoglobinopathies </w:t>
      </w:r>
      <w:r w:rsidRPr="00A9574E">
        <w:rPr>
          <w:spacing w:val="-3"/>
          <w:sz w:val="28"/>
          <w:szCs w:val="28"/>
        </w:rPr>
        <w:t xml:space="preserve">in </w:t>
      </w:r>
      <w:r w:rsidRPr="00A9574E">
        <w:rPr>
          <w:sz w:val="28"/>
          <w:szCs w:val="28"/>
        </w:rPr>
        <w:t xml:space="preserve">six cities </w:t>
      </w:r>
      <w:r w:rsidRPr="00A9574E">
        <w:rPr>
          <w:spacing w:val="-3"/>
          <w:sz w:val="28"/>
          <w:szCs w:val="28"/>
        </w:rPr>
        <w:t xml:space="preserve">in </w:t>
      </w:r>
      <w:r w:rsidRPr="00A9574E">
        <w:rPr>
          <w:sz w:val="28"/>
          <w:szCs w:val="28"/>
        </w:rPr>
        <w:t>India: a multicentre study. Journal of community genetics. 2013 Jan</w:t>
      </w:r>
      <w:r w:rsidRPr="00A9574E">
        <w:rPr>
          <w:spacing w:val="4"/>
          <w:sz w:val="28"/>
          <w:szCs w:val="28"/>
        </w:rPr>
        <w:t xml:space="preserve"> </w:t>
      </w:r>
      <w:r w:rsidRPr="00A9574E">
        <w:rPr>
          <w:sz w:val="28"/>
          <w:szCs w:val="28"/>
        </w:rPr>
        <w:t>1;4(1):33-42.</w:t>
      </w:r>
    </w:p>
    <w:p w:rsidR="008F7AA6" w:rsidRPr="00A9574E" w:rsidRDefault="008F7AA6" w:rsidP="00341EAB">
      <w:pPr>
        <w:pStyle w:val="ListParagraph"/>
        <w:numPr>
          <w:ilvl w:val="0"/>
          <w:numId w:val="3"/>
        </w:numPr>
        <w:tabs>
          <w:tab w:val="left" w:pos="2031"/>
        </w:tabs>
        <w:spacing w:before="203" w:line="480" w:lineRule="auto"/>
        <w:ind w:right="1207" w:firstLine="0"/>
        <w:jc w:val="both"/>
        <w:rPr>
          <w:sz w:val="28"/>
          <w:szCs w:val="28"/>
        </w:rPr>
      </w:pPr>
      <w:r w:rsidRPr="00A9574E">
        <w:rPr>
          <w:sz w:val="28"/>
          <w:szCs w:val="28"/>
        </w:rPr>
        <w:t xml:space="preserve">Sachdev R, Dam </w:t>
      </w:r>
      <w:r w:rsidRPr="00A9574E">
        <w:rPr>
          <w:spacing w:val="-3"/>
          <w:sz w:val="28"/>
          <w:szCs w:val="28"/>
        </w:rPr>
        <w:t xml:space="preserve">A, </w:t>
      </w:r>
      <w:r w:rsidRPr="00A9574E">
        <w:rPr>
          <w:sz w:val="28"/>
          <w:szCs w:val="28"/>
        </w:rPr>
        <w:t xml:space="preserve">Tyagi G. Detection of Hb variants and hemoglobinopathies </w:t>
      </w:r>
      <w:r w:rsidRPr="00A9574E">
        <w:rPr>
          <w:spacing w:val="-3"/>
          <w:sz w:val="28"/>
          <w:szCs w:val="28"/>
        </w:rPr>
        <w:t xml:space="preserve">in </w:t>
      </w:r>
      <w:r w:rsidRPr="00A9574E">
        <w:rPr>
          <w:sz w:val="28"/>
          <w:szCs w:val="28"/>
        </w:rPr>
        <w:t xml:space="preserve">Indian population using HPLC: report of 2600 cases. Indian journal </w:t>
      </w:r>
      <w:r w:rsidRPr="00A9574E">
        <w:rPr>
          <w:spacing w:val="4"/>
          <w:sz w:val="28"/>
          <w:szCs w:val="28"/>
        </w:rPr>
        <w:t xml:space="preserve">of </w:t>
      </w:r>
      <w:r w:rsidRPr="00A9574E">
        <w:rPr>
          <w:sz w:val="28"/>
          <w:szCs w:val="28"/>
        </w:rPr>
        <w:t>pathology and microbiology. 2010 Jan</w:t>
      </w:r>
      <w:r w:rsidRPr="00A9574E">
        <w:rPr>
          <w:spacing w:val="-2"/>
          <w:sz w:val="28"/>
          <w:szCs w:val="28"/>
        </w:rPr>
        <w:t xml:space="preserve"> </w:t>
      </w:r>
      <w:r w:rsidRPr="00A9574E">
        <w:rPr>
          <w:sz w:val="28"/>
          <w:szCs w:val="28"/>
        </w:rPr>
        <w:t>1;53(1):57.</w:t>
      </w:r>
    </w:p>
    <w:p w:rsidR="008F7AA6" w:rsidRPr="00A9574E" w:rsidRDefault="008F7AA6" w:rsidP="00341EAB">
      <w:pPr>
        <w:pStyle w:val="ListParagraph"/>
        <w:numPr>
          <w:ilvl w:val="0"/>
          <w:numId w:val="3"/>
        </w:numPr>
        <w:tabs>
          <w:tab w:val="left" w:pos="2103"/>
        </w:tabs>
        <w:spacing w:before="199" w:line="480" w:lineRule="auto"/>
        <w:ind w:right="1200" w:firstLine="0"/>
        <w:jc w:val="both"/>
        <w:rPr>
          <w:sz w:val="28"/>
          <w:szCs w:val="28"/>
        </w:rPr>
      </w:pPr>
      <w:r w:rsidRPr="00A9574E">
        <w:rPr>
          <w:sz w:val="28"/>
          <w:szCs w:val="28"/>
        </w:rPr>
        <w:t xml:space="preserve">Madan N, Sharma S, Sood SK et </w:t>
      </w:r>
      <w:r w:rsidRPr="00A9574E">
        <w:rPr>
          <w:spacing w:val="-3"/>
          <w:sz w:val="28"/>
          <w:szCs w:val="28"/>
        </w:rPr>
        <w:t xml:space="preserve">al. </w:t>
      </w:r>
      <w:r w:rsidRPr="00A9574E">
        <w:rPr>
          <w:sz w:val="28"/>
          <w:szCs w:val="28"/>
        </w:rPr>
        <w:t xml:space="preserve">Frequency of β-thalassemia trait and other hemoglobinopathies </w:t>
      </w:r>
      <w:r w:rsidRPr="00A9574E">
        <w:rPr>
          <w:spacing w:val="-3"/>
          <w:sz w:val="28"/>
          <w:szCs w:val="28"/>
        </w:rPr>
        <w:t xml:space="preserve">in </w:t>
      </w:r>
      <w:r w:rsidRPr="00A9574E">
        <w:rPr>
          <w:sz w:val="28"/>
          <w:szCs w:val="28"/>
        </w:rPr>
        <w:t xml:space="preserve">northern and western India. Indian journal </w:t>
      </w:r>
      <w:r w:rsidRPr="00A9574E">
        <w:rPr>
          <w:spacing w:val="4"/>
          <w:sz w:val="28"/>
          <w:szCs w:val="28"/>
        </w:rPr>
        <w:t xml:space="preserve">of </w:t>
      </w:r>
      <w:r w:rsidRPr="00A9574E">
        <w:rPr>
          <w:sz w:val="28"/>
          <w:szCs w:val="28"/>
        </w:rPr>
        <w:t xml:space="preserve">human genetics. 2010 </w:t>
      </w:r>
      <w:r w:rsidRPr="00A9574E">
        <w:rPr>
          <w:sz w:val="28"/>
          <w:szCs w:val="28"/>
        </w:rPr>
        <w:lastRenderedPageBreak/>
        <w:t>Jan;16(1):16.</w:t>
      </w:r>
    </w:p>
    <w:p w:rsidR="008F7AA6" w:rsidRPr="00A9574E" w:rsidRDefault="008F7AA6" w:rsidP="00341EAB">
      <w:pPr>
        <w:pStyle w:val="ListParagraph"/>
        <w:numPr>
          <w:ilvl w:val="0"/>
          <w:numId w:val="3"/>
        </w:numPr>
        <w:tabs>
          <w:tab w:val="left" w:pos="2026"/>
        </w:tabs>
        <w:spacing w:before="203" w:line="480" w:lineRule="auto"/>
        <w:ind w:right="1202" w:firstLine="0"/>
        <w:jc w:val="both"/>
        <w:rPr>
          <w:sz w:val="28"/>
          <w:szCs w:val="28"/>
        </w:rPr>
      </w:pPr>
      <w:r w:rsidRPr="00A9574E">
        <w:rPr>
          <w:sz w:val="28"/>
          <w:szCs w:val="28"/>
        </w:rPr>
        <w:t xml:space="preserve">Nadkarni AH, Gorakshakar </w:t>
      </w:r>
      <w:r w:rsidRPr="00A9574E">
        <w:rPr>
          <w:spacing w:val="-3"/>
          <w:sz w:val="28"/>
          <w:szCs w:val="28"/>
        </w:rPr>
        <w:t xml:space="preserve">AC, </w:t>
      </w:r>
      <w:r w:rsidRPr="00A9574E">
        <w:rPr>
          <w:sz w:val="28"/>
          <w:szCs w:val="28"/>
        </w:rPr>
        <w:t xml:space="preserve">Sawant PM et </w:t>
      </w:r>
      <w:r w:rsidRPr="00A9574E">
        <w:rPr>
          <w:spacing w:val="-4"/>
          <w:sz w:val="28"/>
          <w:szCs w:val="28"/>
        </w:rPr>
        <w:t xml:space="preserve">al. </w:t>
      </w:r>
      <w:r w:rsidRPr="00A9574E">
        <w:rPr>
          <w:sz w:val="28"/>
          <w:szCs w:val="28"/>
        </w:rPr>
        <w:t xml:space="preserve">The phenotypic and molecular diversity of hemoglobinopathies </w:t>
      </w:r>
      <w:r w:rsidRPr="00A9574E">
        <w:rPr>
          <w:spacing w:val="-3"/>
          <w:sz w:val="28"/>
          <w:szCs w:val="28"/>
        </w:rPr>
        <w:t xml:space="preserve">in </w:t>
      </w:r>
      <w:r w:rsidRPr="00A9574E">
        <w:rPr>
          <w:sz w:val="28"/>
          <w:szCs w:val="28"/>
        </w:rPr>
        <w:t xml:space="preserve">India: A review </w:t>
      </w:r>
      <w:r w:rsidRPr="00A9574E">
        <w:rPr>
          <w:spacing w:val="4"/>
          <w:sz w:val="28"/>
          <w:szCs w:val="28"/>
        </w:rPr>
        <w:t xml:space="preserve">of </w:t>
      </w:r>
      <w:r w:rsidRPr="00A9574E">
        <w:rPr>
          <w:sz w:val="28"/>
          <w:szCs w:val="28"/>
        </w:rPr>
        <w:t>15 years at a referral center. International journal of laboratory hematology. 2018 Nov</w:t>
      </w:r>
      <w:r w:rsidRPr="00A9574E">
        <w:rPr>
          <w:spacing w:val="-7"/>
          <w:sz w:val="28"/>
          <w:szCs w:val="28"/>
        </w:rPr>
        <w:t xml:space="preserve"> </w:t>
      </w:r>
      <w:r w:rsidRPr="00A9574E">
        <w:rPr>
          <w:sz w:val="28"/>
          <w:szCs w:val="28"/>
        </w:rPr>
        <w:t>29</w:t>
      </w:r>
    </w:p>
    <w:p w:rsidR="008F7AA6" w:rsidRPr="00A9574E" w:rsidRDefault="008F7AA6" w:rsidP="00341EAB">
      <w:pPr>
        <w:pStyle w:val="ListParagraph"/>
        <w:numPr>
          <w:ilvl w:val="0"/>
          <w:numId w:val="3"/>
        </w:numPr>
        <w:tabs>
          <w:tab w:val="left" w:pos="2074"/>
        </w:tabs>
        <w:spacing w:before="198" w:line="480" w:lineRule="auto"/>
        <w:ind w:right="1204" w:firstLine="0"/>
        <w:jc w:val="both"/>
        <w:rPr>
          <w:sz w:val="28"/>
          <w:szCs w:val="28"/>
        </w:rPr>
      </w:pPr>
      <w:r w:rsidRPr="00A9574E">
        <w:rPr>
          <w:sz w:val="28"/>
          <w:szCs w:val="28"/>
        </w:rPr>
        <w:t xml:space="preserve">Colah R, Gorakshakar </w:t>
      </w:r>
      <w:r w:rsidRPr="00A9574E">
        <w:rPr>
          <w:spacing w:val="-3"/>
          <w:sz w:val="28"/>
          <w:szCs w:val="28"/>
        </w:rPr>
        <w:t xml:space="preserve">A, </w:t>
      </w:r>
      <w:r w:rsidRPr="00A9574E">
        <w:rPr>
          <w:sz w:val="28"/>
          <w:szCs w:val="28"/>
        </w:rPr>
        <w:t xml:space="preserve">Phanasgaonkar S et </w:t>
      </w:r>
      <w:r w:rsidRPr="00A9574E">
        <w:rPr>
          <w:spacing w:val="-4"/>
          <w:sz w:val="28"/>
          <w:szCs w:val="28"/>
        </w:rPr>
        <w:t xml:space="preserve">al. </w:t>
      </w:r>
      <w:r w:rsidRPr="00A9574E">
        <w:rPr>
          <w:sz w:val="28"/>
          <w:szCs w:val="28"/>
        </w:rPr>
        <w:t xml:space="preserve">Epidemiology </w:t>
      </w:r>
      <w:r w:rsidRPr="00A9574E">
        <w:rPr>
          <w:spacing w:val="4"/>
          <w:sz w:val="28"/>
          <w:szCs w:val="28"/>
        </w:rPr>
        <w:t xml:space="preserve">of </w:t>
      </w:r>
      <w:r w:rsidRPr="00A9574E">
        <w:rPr>
          <w:sz w:val="28"/>
          <w:szCs w:val="28"/>
        </w:rPr>
        <w:t>β</w:t>
      </w:r>
      <w:r w:rsidRPr="00A9574E">
        <w:rPr>
          <w:rFonts w:ascii="Cambria Math" w:hAnsi="Cambria Math"/>
          <w:sz w:val="28"/>
          <w:szCs w:val="28"/>
        </w:rPr>
        <w:t>‐</w:t>
      </w:r>
      <w:r w:rsidRPr="00A9574E">
        <w:rPr>
          <w:sz w:val="28"/>
          <w:szCs w:val="28"/>
        </w:rPr>
        <w:t xml:space="preserve">thalassaemia in Western India: mapping the frequencies and mutations </w:t>
      </w:r>
      <w:r w:rsidRPr="00A9574E">
        <w:rPr>
          <w:spacing w:val="-3"/>
          <w:sz w:val="28"/>
          <w:szCs w:val="28"/>
        </w:rPr>
        <w:t xml:space="preserve">in </w:t>
      </w:r>
      <w:r w:rsidRPr="00A9574E">
        <w:rPr>
          <w:sz w:val="28"/>
          <w:szCs w:val="28"/>
        </w:rPr>
        <w:t>sub</w:t>
      </w:r>
      <w:r w:rsidRPr="00A9574E">
        <w:rPr>
          <w:rFonts w:ascii="Cambria Math" w:hAnsi="Cambria Math"/>
          <w:sz w:val="28"/>
          <w:szCs w:val="28"/>
        </w:rPr>
        <w:t>‐</w:t>
      </w:r>
      <w:r w:rsidRPr="00A9574E">
        <w:rPr>
          <w:sz w:val="28"/>
          <w:szCs w:val="28"/>
        </w:rPr>
        <w:t>regions of Maharashtra and Gujarat. British journal of haematology. 2010</w:t>
      </w:r>
      <w:r w:rsidRPr="00A9574E">
        <w:rPr>
          <w:spacing w:val="5"/>
          <w:sz w:val="28"/>
          <w:szCs w:val="28"/>
        </w:rPr>
        <w:t xml:space="preserve"> </w:t>
      </w:r>
      <w:r w:rsidRPr="00A9574E">
        <w:rPr>
          <w:sz w:val="28"/>
          <w:szCs w:val="28"/>
        </w:rPr>
        <w:t>Jun;149(5):739-47.</w:t>
      </w:r>
    </w:p>
    <w:p w:rsidR="008F7AA6" w:rsidRPr="00A9574E" w:rsidRDefault="008F7AA6" w:rsidP="00341EAB">
      <w:pPr>
        <w:pStyle w:val="ListParagraph"/>
        <w:numPr>
          <w:ilvl w:val="0"/>
          <w:numId w:val="3"/>
        </w:numPr>
        <w:tabs>
          <w:tab w:val="left" w:pos="270"/>
        </w:tabs>
        <w:spacing w:before="72" w:line="480" w:lineRule="auto"/>
        <w:ind w:right="1199" w:firstLine="0"/>
        <w:jc w:val="both"/>
        <w:rPr>
          <w:sz w:val="28"/>
          <w:szCs w:val="28"/>
        </w:rPr>
      </w:pPr>
      <w:r w:rsidRPr="00A9574E">
        <w:rPr>
          <w:sz w:val="28"/>
          <w:szCs w:val="28"/>
        </w:rPr>
        <w:t xml:space="preserve">Sinha S, Black ML, Agarwal S et </w:t>
      </w:r>
      <w:r w:rsidRPr="00A9574E">
        <w:rPr>
          <w:spacing w:val="-4"/>
          <w:sz w:val="28"/>
          <w:szCs w:val="28"/>
        </w:rPr>
        <w:t xml:space="preserve">al. </w:t>
      </w:r>
      <w:r w:rsidRPr="00A9574E">
        <w:rPr>
          <w:sz w:val="28"/>
          <w:szCs w:val="28"/>
        </w:rPr>
        <w:t xml:space="preserve">Profiling β-thalassaemia mutations </w:t>
      </w:r>
      <w:r w:rsidRPr="00A9574E">
        <w:rPr>
          <w:spacing w:val="-3"/>
          <w:sz w:val="28"/>
          <w:szCs w:val="28"/>
        </w:rPr>
        <w:t xml:space="preserve">in </w:t>
      </w:r>
      <w:r w:rsidRPr="00A9574E">
        <w:rPr>
          <w:sz w:val="28"/>
          <w:szCs w:val="28"/>
        </w:rPr>
        <w:t xml:space="preserve">India at state and regional levels: implications for genetic education, screening and counselling programmes. The HUGO </w:t>
      </w:r>
      <w:r w:rsidRPr="00A9574E">
        <w:rPr>
          <w:spacing w:val="-3"/>
          <w:sz w:val="28"/>
          <w:szCs w:val="28"/>
        </w:rPr>
        <w:t xml:space="preserve">journal. </w:t>
      </w:r>
      <w:r w:rsidRPr="00A9574E">
        <w:rPr>
          <w:sz w:val="28"/>
          <w:szCs w:val="28"/>
        </w:rPr>
        <w:t>2009</w:t>
      </w:r>
      <w:r w:rsidRPr="00A9574E">
        <w:rPr>
          <w:spacing w:val="16"/>
          <w:sz w:val="28"/>
          <w:szCs w:val="28"/>
        </w:rPr>
        <w:t xml:space="preserve"> </w:t>
      </w:r>
      <w:r w:rsidRPr="00A9574E">
        <w:rPr>
          <w:sz w:val="28"/>
          <w:szCs w:val="28"/>
        </w:rPr>
        <w:t>Dec;3(1):51.</w:t>
      </w:r>
    </w:p>
    <w:p w:rsidR="008F7AA6" w:rsidRPr="00A9574E" w:rsidRDefault="008F7AA6" w:rsidP="00341EAB">
      <w:pPr>
        <w:pStyle w:val="ListParagraph"/>
        <w:numPr>
          <w:ilvl w:val="0"/>
          <w:numId w:val="3"/>
        </w:numPr>
        <w:tabs>
          <w:tab w:val="left" w:pos="2031"/>
        </w:tabs>
        <w:spacing w:before="199" w:line="480" w:lineRule="auto"/>
        <w:ind w:right="1193" w:firstLine="0"/>
        <w:jc w:val="both"/>
        <w:rPr>
          <w:sz w:val="28"/>
          <w:szCs w:val="28"/>
        </w:rPr>
      </w:pPr>
      <w:r w:rsidRPr="00A9574E">
        <w:rPr>
          <w:sz w:val="28"/>
          <w:szCs w:val="28"/>
        </w:rPr>
        <w:t xml:space="preserve">Satpute </w:t>
      </w:r>
      <w:r w:rsidRPr="00A9574E">
        <w:rPr>
          <w:spacing w:val="-3"/>
          <w:sz w:val="28"/>
          <w:szCs w:val="28"/>
        </w:rPr>
        <w:t xml:space="preserve">SB, </w:t>
      </w:r>
      <w:r w:rsidRPr="00A9574E">
        <w:rPr>
          <w:sz w:val="28"/>
          <w:szCs w:val="28"/>
        </w:rPr>
        <w:t xml:space="preserve">Bankar MP, Momin </w:t>
      </w:r>
      <w:r w:rsidRPr="00A9574E">
        <w:rPr>
          <w:spacing w:val="-3"/>
          <w:sz w:val="28"/>
          <w:szCs w:val="28"/>
        </w:rPr>
        <w:t xml:space="preserve">AA. </w:t>
      </w:r>
      <w:r w:rsidRPr="00A9574E">
        <w:rPr>
          <w:sz w:val="28"/>
          <w:szCs w:val="28"/>
        </w:rPr>
        <w:t xml:space="preserve">The prevalence of β-thalassemia mutations </w:t>
      </w:r>
      <w:r w:rsidRPr="00A9574E">
        <w:rPr>
          <w:spacing w:val="-3"/>
          <w:sz w:val="28"/>
          <w:szCs w:val="28"/>
        </w:rPr>
        <w:t xml:space="preserve">in </w:t>
      </w:r>
      <w:r w:rsidRPr="00A9574E">
        <w:rPr>
          <w:sz w:val="28"/>
          <w:szCs w:val="28"/>
        </w:rPr>
        <w:t>south western Maharashtra. Indian Journal of Clinical Biochemistry. 2012 Oct</w:t>
      </w:r>
      <w:r w:rsidRPr="00A9574E">
        <w:rPr>
          <w:spacing w:val="-18"/>
          <w:sz w:val="28"/>
          <w:szCs w:val="28"/>
        </w:rPr>
        <w:t xml:space="preserve"> </w:t>
      </w:r>
      <w:r w:rsidRPr="00A9574E">
        <w:rPr>
          <w:sz w:val="28"/>
          <w:szCs w:val="28"/>
        </w:rPr>
        <w:lastRenderedPageBreak/>
        <w:t>1;27(4):389-93.</w:t>
      </w:r>
    </w:p>
    <w:p w:rsidR="008F7AA6" w:rsidRPr="00A9574E" w:rsidRDefault="008F7AA6" w:rsidP="00341EAB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  <w:sectPr w:rsidR="008F7AA6" w:rsidRPr="00A9574E" w:rsidSect="009949F0">
          <w:pgSz w:w="12240" w:h="15840"/>
          <w:pgMar w:top="1440" w:right="1440" w:bottom="1440" w:left="1440" w:header="0" w:footer="928" w:gutter="0"/>
          <w:cols w:space="720"/>
          <w:docGrid w:linePitch="299"/>
        </w:sectPr>
      </w:pPr>
    </w:p>
    <w:p w:rsidR="008F7AA6" w:rsidRPr="00A9574E" w:rsidRDefault="008F7AA6" w:rsidP="00341EAB">
      <w:pPr>
        <w:pStyle w:val="BodyText"/>
        <w:spacing w:before="8" w:line="480" w:lineRule="auto"/>
        <w:jc w:val="both"/>
        <w:rPr>
          <w:sz w:val="28"/>
          <w:szCs w:val="28"/>
        </w:rPr>
      </w:pPr>
    </w:p>
    <w:p w:rsidR="00C3067F" w:rsidRDefault="00313B75" w:rsidP="00341EAB">
      <w:pPr>
        <w:tabs>
          <w:tab w:val="left" w:pos="2880"/>
          <w:tab w:val="left" w:pos="2881"/>
        </w:tabs>
        <w:spacing w:before="1" w:line="480" w:lineRule="auto"/>
        <w:ind w:right="11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BIOGRAPHY:</w:t>
      </w:r>
    </w:p>
    <w:p w:rsidR="000206A4" w:rsidRDefault="000206A4" w:rsidP="00341EAB">
      <w:pPr>
        <w:tabs>
          <w:tab w:val="left" w:pos="2880"/>
          <w:tab w:val="left" w:pos="2881"/>
        </w:tabs>
        <w:spacing w:before="1" w:line="480" w:lineRule="auto"/>
        <w:ind w:right="11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65070" cy="302133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3021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B75" w:rsidRPr="00A9574E" w:rsidRDefault="00313B75" w:rsidP="00313B75">
      <w:pPr>
        <w:tabs>
          <w:tab w:val="left" w:pos="2880"/>
          <w:tab w:val="left" w:pos="2881"/>
        </w:tabs>
        <w:spacing w:before="1" w:line="480" w:lineRule="auto"/>
        <w:ind w:right="119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 Amarinder Oberoi is a pediatric resident with a keen interest in community pediatrics and genetics. After graduation he has worked in a rural hospital</w:t>
      </w:r>
      <w:r w:rsidR="00775BA5">
        <w:rPr>
          <w:rFonts w:ascii="Times New Roman" w:hAnsi="Times New Roman" w:cs="Times New Roman"/>
          <w:sz w:val="28"/>
          <w:szCs w:val="28"/>
        </w:rPr>
        <w:t xml:space="preserve"> with bare</w:t>
      </w:r>
      <w:r>
        <w:rPr>
          <w:rFonts w:ascii="Times New Roman" w:hAnsi="Times New Roman" w:cs="Times New Roman"/>
          <w:sz w:val="28"/>
          <w:szCs w:val="28"/>
        </w:rPr>
        <w:t xml:space="preserve"> minimum facilities for a year. Currently in final year of residency plans to pursue further studies in neurology or hematology.  </w:t>
      </w:r>
    </w:p>
    <w:p w:rsidR="00376695" w:rsidRPr="00A9574E" w:rsidRDefault="00775BA5" w:rsidP="00341EAB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Email: karanwicked@gmail,com</w:t>
      </w:r>
    </w:p>
    <w:sectPr w:rsidR="00376695" w:rsidRPr="00A9574E" w:rsidSect="00376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653E9"/>
    <w:multiLevelType w:val="hybridMultilevel"/>
    <w:tmpl w:val="AA46A8DE"/>
    <w:lvl w:ilvl="0" w:tplc="C43837EA">
      <w:numFmt w:val="bullet"/>
      <w:lvlText w:val=""/>
      <w:lvlJc w:val="left"/>
      <w:pPr>
        <w:ind w:left="288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7D86F42E">
      <w:numFmt w:val="bullet"/>
      <w:lvlText w:val="•"/>
      <w:lvlJc w:val="left"/>
      <w:pPr>
        <w:ind w:left="3792" w:hanging="360"/>
      </w:pPr>
      <w:rPr>
        <w:rFonts w:hint="default"/>
        <w:lang w:val="en-US" w:eastAsia="en-US" w:bidi="en-US"/>
      </w:rPr>
    </w:lvl>
    <w:lvl w:ilvl="2" w:tplc="12CC7FCA">
      <w:numFmt w:val="bullet"/>
      <w:lvlText w:val="•"/>
      <w:lvlJc w:val="left"/>
      <w:pPr>
        <w:ind w:left="4704" w:hanging="360"/>
      </w:pPr>
      <w:rPr>
        <w:rFonts w:hint="default"/>
        <w:lang w:val="en-US" w:eastAsia="en-US" w:bidi="en-US"/>
      </w:rPr>
    </w:lvl>
    <w:lvl w:ilvl="3" w:tplc="EC2E42DA">
      <w:numFmt w:val="bullet"/>
      <w:lvlText w:val="•"/>
      <w:lvlJc w:val="left"/>
      <w:pPr>
        <w:ind w:left="5616" w:hanging="360"/>
      </w:pPr>
      <w:rPr>
        <w:rFonts w:hint="default"/>
        <w:lang w:val="en-US" w:eastAsia="en-US" w:bidi="en-US"/>
      </w:rPr>
    </w:lvl>
    <w:lvl w:ilvl="4" w:tplc="1772B774">
      <w:numFmt w:val="bullet"/>
      <w:lvlText w:val="•"/>
      <w:lvlJc w:val="left"/>
      <w:pPr>
        <w:ind w:left="6528" w:hanging="360"/>
      </w:pPr>
      <w:rPr>
        <w:rFonts w:hint="default"/>
        <w:lang w:val="en-US" w:eastAsia="en-US" w:bidi="en-US"/>
      </w:rPr>
    </w:lvl>
    <w:lvl w:ilvl="5" w:tplc="6352AEC8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en-US"/>
      </w:rPr>
    </w:lvl>
    <w:lvl w:ilvl="6" w:tplc="AA12F04C">
      <w:numFmt w:val="bullet"/>
      <w:lvlText w:val="•"/>
      <w:lvlJc w:val="left"/>
      <w:pPr>
        <w:ind w:left="8352" w:hanging="360"/>
      </w:pPr>
      <w:rPr>
        <w:rFonts w:hint="default"/>
        <w:lang w:val="en-US" w:eastAsia="en-US" w:bidi="en-US"/>
      </w:rPr>
    </w:lvl>
    <w:lvl w:ilvl="7" w:tplc="5124525C">
      <w:numFmt w:val="bullet"/>
      <w:lvlText w:val="•"/>
      <w:lvlJc w:val="left"/>
      <w:pPr>
        <w:ind w:left="9264" w:hanging="360"/>
      </w:pPr>
      <w:rPr>
        <w:rFonts w:hint="default"/>
        <w:lang w:val="en-US" w:eastAsia="en-US" w:bidi="en-US"/>
      </w:rPr>
    </w:lvl>
    <w:lvl w:ilvl="8" w:tplc="2E724F88">
      <w:numFmt w:val="bullet"/>
      <w:lvlText w:val="•"/>
      <w:lvlJc w:val="left"/>
      <w:pPr>
        <w:ind w:left="10176" w:hanging="360"/>
      </w:pPr>
      <w:rPr>
        <w:rFonts w:hint="default"/>
        <w:lang w:val="en-US" w:eastAsia="en-US" w:bidi="en-US"/>
      </w:rPr>
    </w:lvl>
  </w:abstractNum>
  <w:abstractNum w:abstractNumId="1">
    <w:nsid w:val="30FF5ED4"/>
    <w:multiLevelType w:val="hybridMultilevel"/>
    <w:tmpl w:val="7990ED86"/>
    <w:lvl w:ilvl="0" w:tplc="B5087D4C">
      <w:start w:val="1"/>
      <w:numFmt w:val="lowerRoman"/>
      <w:lvlText w:val="%1."/>
      <w:lvlJc w:val="left"/>
      <w:pPr>
        <w:ind w:left="3601" w:hanging="308"/>
        <w:jc w:val="righ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en-US" w:eastAsia="en-US" w:bidi="en-US"/>
      </w:rPr>
    </w:lvl>
    <w:lvl w:ilvl="1" w:tplc="33ACA436">
      <w:numFmt w:val="bullet"/>
      <w:lvlText w:val="•"/>
      <w:lvlJc w:val="left"/>
      <w:pPr>
        <w:ind w:left="4440" w:hanging="308"/>
      </w:pPr>
      <w:rPr>
        <w:rFonts w:hint="default"/>
        <w:lang w:val="en-US" w:eastAsia="en-US" w:bidi="en-US"/>
      </w:rPr>
    </w:lvl>
    <w:lvl w:ilvl="2" w:tplc="504852F0">
      <w:numFmt w:val="bullet"/>
      <w:lvlText w:val="•"/>
      <w:lvlJc w:val="left"/>
      <w:pPr>
        <w:ind w:left="5280" w:hanging="308"/>
      </w:pPr>
      <w:rPr>
        <w:rFonts w:hint="default"/>
        <w:lang w:val="en-US" w:eastAsia="en-US" w:bidi="en-US"/>
      </w:rPr>
    </w:lvl>
    <w:lvl w:ilvl="3" w:tplc="40544DCE">
      <w:numFmt w:val="bullet"/>
      <w:lvlText w:val="•"/>
      <w:lvlJc w:val="left"/>
      <w:pPr>
        <w:ind w:left="6120" w:hanging="308"/>
      </w:pPr>
      <w:rPr>
        <w:rFonts w:hint="default"/>
        <w:lang w:val="en-US" w:eastAsia="en-US" w:bidi="en-US"/>
      </w:rPr>
    </w:lvl>
    <w:lvl w:ilvl="4" w:tplc="42F64454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en-US"/>
      </w:rPr>
    </w:lvl>
    <w:lvl w:ilvl="5" w:tplc="B448C508">
      <w:numFmt w:val="bullet"/>
      <w:lvlText w:val="•"/>
      <w:lvlJc w:val="left"/>
      <w:pPr>
        <w:ind w:left="7800" w:hanging="308"/>
      </w:pPr>
      <w:rPr>
        <w:rFonts w:hint="default"/>
        <w:lang w:val="en-US" w:eastAsia="en-US" w:bidi="en-US"/>
      </w:rPr>
    </w:lvl>
    <w:lvl w:ilvl="6" w:tplc="37AC369E">
      <w:numFmt w:val="bullet"/>
      <w:lvlText w:val="•"/>
      <w:lvlJc w:val="left"/>
      <w:pPr>
        <w:ind w:left="8640" w:hanging="308"/>
      </w:pPr>
      <w:rPr>
        <w:rFonts w:hint="default"/>
        <w:lang w:val="en-US" w:eastAsia="en-US" w:bidi="en-US"/>
      </w:rPr>
    </w:lvl>
    <w:lvl w:ilvl="7" w:tplc="D130DA04">
      <w:numFmt w:val="bullet"/>
      <w:lvlText w:val="•"/>
      <w:lvlJc w:val="left"/>
      <w:pPr>
        <w:ind w:left="9480" w:hanging="308"/>
      </w:pPr>
      <w:rPr>
        <w:rFonts w:hint="default"/>
        <w:lang w:val="en-US" w:eastAsia="en-US" w:bidi="en-US"/>
      </w:rPr>
    </w:lvl>
    <w:lvl w:ilvl="8" w:tplc="67D00106">
      <w:numFmt w:val="bullet"/>
      <w:lvlText w:val="•"/>
      <w:lvlJc w:val="left"/>
      <w:pPr>
        <w:ind w:left="10320" w:hanging="308"/>
      </w:pPr>
      <w:rPr>
        <w:rFonts w:hint="default"/>
        <w:lang w:val="en-US" w:eastAsia="en-US" w:bidi="en-US"/>
      </w:rPr>
    </w:lvl>
  </w:abstractNum>
  <w:abstractNum w:abstractNumId="2">
    <w:nsid w:val="6EDD654D"/>
    <w:multiLevelType w:val="hybridMultilevel"/>
    <w:tmpl w:val="4AA045A0"/>
    <w:lvl w:ilvl="0" w:tplc="80024FB8">
      <w:start w:val="1"/>
      <w:numFmt w:val="decimal"/>
      <w:lvlText w:val="%1)"/>
      <w:lvlJc w:val="left"/>
      <w:pPr>
        <w:ind w:left="1531" w:hanging="495"/>
        <w:jc w:val="left"/>
      </w:pPr>
      <w:rPr>
        <w:rFonts w:ascii="Times New Roman" w:eastAsia="Times New Roman" w:hAnsi="Times New Roman" w:cs="Times New Roman"/>
        <w:w w:val="100"/>
        <w:sz w:val="24"/>
        <w:szCs w:val="24"/>
        <w:lang w:val="en-US" w:eastAsia="en-US" w:bidi="en-US"/>
      </w:rPr>
    </w:lvl>
    <w:lvl w:ilvl="1" w:tplc="CD3045EC">
      <w:numFmt w:val="bullet"/>
      <w:lvlText w:val="•"/>
      <w:lvlJc w:val="left"/>
      <w:pPr>
        <w:ind w:left="2586" w:hanging="495"/>
      </w:pPr>
      <w:rPr>
        <w:rFonts w:hint="default"/>
        <w:lang w:val="en-US" w:eastAsia="en-US" w:bidi="en-US"/>
      </w:rPr>
    </w:lvl>
    <w:lvl w:ilvl="2" w:tplc="FBCC808E">
      <w:numFmt w:val="bullet"/>
      <w:lvlText w:val="•"/>
      <w:lvlJc w:val="left"/>
      <w:pPr>
        <w:ind w:left="3632" w:hanging="495"/>
      </w:pPr>
      <w:rPr>
        <w:rFonts w:hint="default"/>
        <w:lang w:val="en-US" w:eastAsia="en-US" w:bidi="en-US"/>
      </w:rPr>
    </w:lvl>
    <w:lvl w:ilvl="3" w:tplc="480C7C64">
      <w:numFmt w:val="bullet"/>
      <w:lvlText w:val="•"/>
      <w:lvlJc w:val="left"/>
      <w:pPr>
        <w:ind w:left="4678" w:hanging="495"/>
      </w:pPr>
      <w:rPr>
        <w:rFonts w:hint="default"/>
        <w:lang w:val="en-US" w:eastAsia="en-US" w:bidi="en-US"/>
      </w:rPr>
    </w:lvl>
    <w:lvl w:ilvl="4" w:tplc="77AEF28C">
      <w:numFmt w:val="bullet"/>
      <w:lvlText w:val="•"/>
      <w:lvlJc w:val="left"/>
      <w:pPr>
        <w:ind w:left="5724" w:hanging="495"/>
      </w:pPr>
      <w:rPr>
        <w:rFonts w:hint="default"/>
        <w:lang w:val="en-US" w:eastAsia="en-US" w:bidi="en-US"/>
      </w:rPr>
    </w:lvl>
    <w:lvl w:ilvl="5" w:tplc="A43AD004">
      <w:numFmt w:val="bullet"/>
      <w:lvlText w:val="•"/>
      <w:lvlJc w:val="left"/>
      <w:pPr>
        <w:ind w:left="6770" w:hanging="495"/>
      </w:pPr>
      <w:rPr>
        <w:rFonts w:hint="default"/>
        <w:lang w:val="en-US" w:eastAsia="en-US" w:bidi="en-US"/>
      </w:rPr>
    </w:lvl>
    <w:lvl w:ilvl="6" w:tplc="D01200A0">
      <w:numFmt w:val="bullet"/>
      <w:lvlText w:val="•"/>
      <w:lvlJc w:val="left"/>
      <w:pPr>
        <w:ind w:left="7816" w:hanging="495"/>
      </w:pPr>
      <w:rPr>
        <w:rFonts w:hint="default"/>
        <w:lang w:val="en-US" w:eastAsia="en-US" w:bidi="en-US"/>
      </w:rPr>
    </w:lvl>
    <w:lvl w:ilvl="7" w:tplc="4E78D506">
      <w:numFmt w:val="bullet"/>
      <w:lvlText w:val="•"/>
      <w:lvlJc w:val="left"/>
      <w:pPr>
        <w:ind w:left="8862" w:hanging="495"/>
      </w:pPr>
      <w:rPr>
        <w:rFonts w:hint="default"/>
        <w:lang w:val="en-US" w:eastAsia="en-US" w:bidi="en-US"/>
      </w:rPr>
    </w:lvl>
    <w:lvl w:ilvl="8" w:tplc="C3E26C04">
      <w:numFmt w:val="bullet"/>
      <w:lvlText w:val="•"/>
      <w:lvlJc w:val="left"/>
      <w:pPr>
        <w:ind w:left="9908" w:hanging="495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compat/>
  <w:rsids>
    <w:rsidRoot w:val="00341E8F"/>
    <w:rsid w:val="000206A4"/>
    <w:rsid w:val="00026EEC"/>
    <w:rsid w:val="000A4E3C"/>
    <w:rsid w:val="00157AC8"/>
    <w:rsid w:val="00181A6E"/>
    <w:rsid w:val="00313B75"/>
    <w:rsid w:val="00341E8F"/>
    <w:rsid w:val="00341EAB"/>
    <w:rsid w:val="00346959"/>
    <w:rsid w:val="00376695"/>
    <w:rsid w:val="00393C9D"/>
    <w:rsid w:val="003B3A40"/>
    <w:rsid w:val="004155F1"/>
    <w:rsid w:val="00482B44"/>
    <w:rsid w:val="00547840"/>
    <w:rsid w:val="00553D4A"/>
    <w:rsid w:val="00585E77"/>
    <w:rsid w:val="0064476D"/>
    <w:rsid w:val="00757655"/>
    <w:rsid w:val="0077094E"/>
    <w:rsid w:val="00775BA5"/>
    <w:rsid w:val="008667EE"/>
    <w:rsid w:val="0088463E"/>
    <w:rsid w:val="008C2BE6"/>
    <w:rsid w:val="008F7AA6"/>
    <w:rsid w:val="0091402E"/>
    <w:rsid w:val="009949F0"/>
    <w:rsid w:val="009D7691"/>
    <w:rsid w:val="00A56FEB"/>
    <w:rsid w:val="00A9574E"/>
    <w:rsid w:val="00B538D0"/>
    <w:rsid w:val="00B63493"/>
    <w:rsid w:val="00C00B36"/>
    <w:rsid w:val="00C3067F"/>
    <w:rsid w:val="00CA5F25"/>
    <w:rsid w:val="00CB33FD"/>
    <w:rsid w:val="00EB151B"/>
    <w:rsid w:val="00F35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6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41E8F"/>
    <w:pPr>
      <w:widowControl w:val="0"/>
      <w:autoSpaceDE w:val="0"/>
      <w:autoSpaceDN w:val="0"/>
      <w:spacing w:after="0" w:line="240" w:lineRule="auto"/>
      <w:ind w:left="1531"/>
      <w:jc w:val="both"/>
    </w:pPr>
    <w:rPr>
      <w:rFonts w:ascii="Times New Roman" w:eastAsia="Times New Roman" w:hAnsi="Times New Roman" w:cs="Times New Roman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A56F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56FEB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Hyperlink">
    <w:name w:val="Hyperlink"/>
    <w:basedOn w:val="DefaultParagraphFont"/>
    <w:uiPriority w:val="99"/>
    <w:semiHidden/>
    <w:unhideWhenUsed/>
    <w:rsid w:val="00157AC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6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AMARINDER</dc:creator>
  <cp:lastModifiedBy>AMARINDER</cp:lastModifiedBy>
  <cp:revision>36</cp:revision>
  <dcterms:created xsi:type="dcterms:W3CDTF">2019-05-10T19:19:00Z</dcterms:created>
  <dcterms:modified xsi:type="dcterms:W3CDTF">2019-05-10T21:24:00Z</dcterms:modified>
</cp:coreProperties>
</file>