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3B5" w:rsidRPr="00287BDF" w:rsidRDefault="00EC13B5" w:rsidP="00EC13B5">
      <w:pPr>
        <w:autoSpaceDE w:val="0"/>
        <w:autoSpaceDN w:val="0"/>
        <w:adjustRightInd w:val="0"/>
        <w:spacing w:after="0" w:line="240" w:lineRule="auto"/>
        <w:rPr>
          <w:rFonts w:ascii="Minion Pro" w:hAnsi="Minion Pro" w:cs="Times New Roman"/>
          <w:b/>
          <w:color w:val="0070C0"/>
          <w:sz w:val="36"/>
          <w:szCs w:val="36"/>
        </w:rPr>
      </w:pPr>
      <w:r w:rsidRPr="00287BDF">
        <w:rPr>
          <w:rFonts w:ascii="Minion Pro" w:hAnsi="Minion Pro" w:cs="Times New Roman"/>
          <w:b/>
          <w:color w:val="0070C0"/>
          <w:sz w:val="36"/>
          <w:szCs w:val="36"/>
        </w:rPr>
        <w:t>Bioche</w:t>
      </w:r>
      <w:r w:rsidR="00430242" w:rsidRPr="00287BDF">
        <w:rPr>
          <w:rFonts w:ascii="Minion Pro" w:hAnsi="Minion Pro" w:cs="Times New Roman"/>
          <w:b/>
          <w:color w:val="0070C0"/>
          <w:sz w:val="36"/>
          <w:szCs w:val="36"/>
        </w:rPr>
        <w:t xml:space="preserve">mical and hematological changes </w:t>
      </w:r>
      <w:r w:rsidRPr="00287BDF">
        <w:rPr>
          <w:rFonts w:ascii="Minion Pro" w:hAnsi="Minion Pro" w:cs="Times New Roman"/>
          <w:b/>
          <w:color w:val="0070C0"/>
          <w:sz w:val="36"/>
          <w:szCs w:val="36"/>
        </w:rPr>
        <w:t>among</w:t>
      </w:r>
      <w:r w:rsidR="00430242" w:rsidRPr="00287BDF">
        <w:rPr>
          <w:rFonts w:ascii="Minion Pro" w:hAnsi="Minion Pro" w:cs="Times New Roman"/>
          <w:b/>
          <w:color w:val="0070C0"/>
          <w:sz w:val="36"/>
          <w:szCs w:val="36"/>
        </w:rPr>
        <w:t xml:space="preserve"> anemic and non-anemic pregnant </w:t>
      </w:r>
      <w:r w:rsidRPr="00287BDF">
        <w:rPr>
          <w:rFonts w:ascii="Minion Pro" w:hAnsi="Minion Pro" w:cs="Times New Roman"/>
          <w:b/>
          <w:color w:val="0070C0"/>
          <w:sz w:val="36"/>
          <w:szCs w:val="36"/>
        </w:rPr>
        <w:t>women at</w:t>
      </w:r>
      <w:r w:rsidR="00430242" w:rsidRPr="00287BDF">
        <w:rPr>
          <w:rFonts w:ascii="Minion Pro" w:hAnsi="Minion Pro" w:cs="Times New Roman"/>
          <w:b/>
          <w:color w:val="0070C0"/>
          <w:sz w:val="36"/>
          <w:szCs w:val="36"/>
        </w:rPr>
        <w:t xml:space="preserve">tending antenatal clinic at the </w:t>
      </w:r>
      <w:r w:rsidRPr="00287BDF">
        <w:rPr>
          <w:rFonts w:ascii="Minion Pro" w:hAnsi="Minion Pro" w:cs="Times New Roman"/>
          <w:b/>
          <w:color w:val="0070C0"/>
          <w:sz w:val="36"/>
          <w:szCs w:val="36"/>
        </w:rPr>
        <w:t>Bolgatanga regional hospital, Ghana</w:t>
      </w:r>
      <w:r w:rsidR="00430242" w:rsidRPr="00287BDF">
        <w:rPr>
          <w:rFonts w:ascii="Minion Pro" w:hAnsi="Minion Pro" w:cs="Times New Roman"/>
          <w:b/>
          <w:color w:val="0070C0"/>
          <w:sz w:val="36"/>
          <w:szCs w:val="36"/>
        </w:rPr>
        <w:t>.</w:t>
      </w:r>
    </w:p>
    <w:p w:rsidR="00EC13B5" w:rsidRPr="009E46D2" w:rsidRDefault="00EC13B5" w:rsidP="00EC13B5">
      <w:pPr>
        <w:autoSpaceDE w:val="0"/>
        <w:autoSpaceDN w:val="0"/>
        <w:adjustRightInd w:val="0"/>
        <w:spacing w:after="0" w:line="360" w:lineRule="auto"/>
        <w:jc w:val="both"/>
        <w:rPr>
          <w:rFonts w:ascii="Arial" w:hAnsi="Arial" w:cs="Arial"/>
          <w:color w:val="131413"/>
          <w:sz w:val="18"/>
          <w:szCs w:val="18"/>
          <w:vertAlign w:val="superscript"/>
        </w:rPr>
      </w:pPr>
      <w:r w:rsidRPr="009E46D2">
        <w:rPr>
          <w:rFonts w:ascii="Arial" w:hAnsi="Arial" w:cs="Arial"/>
          <w:color w:val="131413"/>
          <w:sz w:val="18"/>
          <w:szCs w:val="18"/>
        </w:rPr>
        <w:t>Benjamin Ahenkorah</w:t>
      </w:r>
      <w:r w:rsidRPr="009E46D2">
        <w:rPr>
          <w:rFonts w:ascii="Arial" w:hAnsi="Arial" w:cs="Arial"/>
          <w:color w:val="131413"/>
          <w:sz w:val="18"/>
          <w:szCs w:val="18"/>
          <w:vertAlign w:val="superscript"/>
        </w:rPr>
        <w:t>1,4,5*</w:t>
      </w:r>
      <w:r w:rsidRPr="009E46D2">
        <w:rPr>
          <w:rFonts w:ascii="Arial" w:hAnsi="Arial" w:cs="Arial"/>
          <w:color w:val="131413"/>
          <w:sz w:val="18"/>
          <w:szCs w:val="18"/>
        </w:rPr>
        <w:t xml:space="preserve"> , Kwabena Nsiah</w:t>
      </w:r>
      <w:r w:rsidRPr="009E46D2">
        <w:rPr>
          <w:rFonts w:ascii="Arial" w:hAnsi="Arial" w:cs="Arial"/>
          <w:color w:val="131413"/>
          <w:sz w:val="18"/>
          <w:szCs w:val="18"/>
          <w:vertAlign w:val="superscript"/>
        </w:rPr>
        <w:t>2</w:t>
      </w:r>
      <w:r w:rsidRPr="009E46D2">
        <w:rPr>
          <w:rFonts w:ascii="Arial" w:hAnsi="Arial" w:cs="Arial"/>
          <w:color w:val="131413"/>
          <w:sz w:val="18"/>
          <w:szCs w:val="18"/>
        </w:rPr>
        <w:t>, Peter Baffoe</w:t>
      </w:r>
      <w:r w:rsidRPr="009E46D2">
        <w:rPr>
          <w:rFonts w:ascii="Arial" w:hAnsi="Arial" w:cs="Arial"/>
          <w:color w:val="131413"/>
          <w:sz w:val="18"/>
          <w:szCs w:val="18"/>
          <w:vertAlign w:val="superscript"/>
        </w:rPr>
        <w:t>3</w:t>
      </w:r>
      <w:r w:rsidRPr="009E46D2">
        <w:rPr>
          <w:rFonts w:ascii="Arial" w:hAnsi="Arial" w:cs="Arial"/>
          <w:color w:val="131413"/>
          <w:sz w:val="18"/>
          <w:szCs w:val="18"/>
        </w:rPr>
        <w:t xml:space="preserve"> and Enoch Odame Anto</w:t>
      </w:r>
      <w:r w:rsidRPr="009E46D2">
        <w:rPr>
          <w:rFonts w:ascii="Arial" w:hAnsi="Arial" w:cs="Arial"/>
          <w:color w:val="131413"/>
          <w:sz w:val="18"/>
          <w:szCs w:val="18"/>
          <w:vertAlign w:val="superscript"/>
        </w:rPr>
        <w:t>5,6,7</w:t>
      </w:r>
    </w:p>
    <w:p w:rsidR="00D17529" w:rsidRPr="009E46D2" w:rsidRDefault="00D17529" w:rsidP="00D17529">
      <w:pPr>
        <w:pStyle w:val="NoSpacing"/>
        <w:spacing w:line="360" w:lineRule="auto"/>
        <w:jc w:val="both"/>
        <w:rPr>
          <w:rFonts w:ascii="Arial" w:hAnsi="Arial" w:cs="Arial"/>
          <w:sz w:val="18"/>
          <w:szCs w:val="18"/>
        </w:rPr>
      </w:pPr>
      <w:r w:rsidRPr="009E46D2">
        <w:rPr>
          <w:rFonts w:ascii="Arial" w:hAnsi="Arial" w:cs="Arial"/>
          <w:sz w:val="18"/>
          <w:szCs w:val="18"/>
          <w:vertAlign w:val="superscript"/>
        </w:rPr>
        <w:t>1</w:t>
      </w:r>
      <w:r w:rsidRPr="009E46D2">
        <w:rPr>
          <w:rFonts w:ascii="Arial" w:hAnsi="Arial" w:cs="Arial"/>
          <w:sz w:val="18"/>
          <w:szCs w:val="18"/>
        </w:rPr>
        <w:t>Biochemistry and Hematology Units, Bolgatanga Regional Hospital, P.O. Box 26, Bolgatanga-Upper East Region, Ghana.</w:t>
      </w:r>
    </w:p>
    <w:p w:rsidR="00D17529" w:rsidRPr="009E46D2" w:rsidRDefault="00D17529" w:rsidP="00D17529">
      <w:pPr>
        <w:pStyle w:val="NoSpacing"/>
        <w:spacing w:line="360" w:lineRule="auto"/>
        <w:jc w:val="both"/>
        <w:rPr>
          <w:rFonts w:ascii="Arial" w:hAnsi="Arial" w:cs="Arial"/>
          <w:sz w:val="18"/>
          <w:szCs w:val="18"/>
        </w:rPr>
      </w:pPr>
      <w:r w:rsidRPr="009E46D2">
        <w:rPr>
          <w:rFonts w:ascii="Arial" w:hAnsi="Arial" w:cs="Arial"/>
          <w:sz w:val="18"/>
          <w:szCs w:val="18"/>
          <w:vertAlign w:val="superscript"/>
        </w:rPr>
        <w:t>2</w:t>
      </w:r>
      <w:r w:rsidRPr="009E46D2">
        <w:rPr>
          <w:rFonts w:ascii="Arial" w:hAnsi="Arial" w:cs="Arial"/>
          <w:sz w:val="18"/>
          <w:szCs w:val="18"/>
        </w:rPr>
        <w:t>Department of Biochemistry and Biotechnology, Kwame Nkrumah University of Science and Technology, Kumasi, Ghana.</w:t>
      </w:r>
    </w:p>
    <w:p w:rsidR="00D17529" w:rsidRPr="009E46D2" w:rsidRDefault="00D17529" w:rsidP="00D17529">
      <w:pPr>
        <w:pStyle w:val="NoSpacing"/>
        <w:spacing w:line="360" w:lineRule="auto"/>
        <w:jc w:val="both"/>
        <w:rPr>
          <w:rFonts w:ascii="Arial" w:hAnsi="Arial" w:cs="Arial"/>
          <w:sz w:val="18"/>
          <w:szCs w:val="18"/>
        </w:rPr>
      </w:pPr>
      <w:r w:rsidRPr="009E46D2">
        <w:rPr>
          <w:rFonts w:ascii="Arial" w:hAnsi="Arial" w:cs="Arial"/>
          <w:sz w:val="18"/>
          <w:szCs w:val="18"/>
          <w:vertAlign w:val="superscript"/>
        </w:rPr>
        <w:t>3</w:t>
      </w:r>
      <w:r w:rsidRPr="009E46D2">
        <w:rPr>
          <w:rFonts w:ascii="Arial" w:hAnsi="Arial" w:cs="Arial"/>
          <w:sz w:val="18"/>
          <w:szCs w:val="18"/>
        </w:rPr>
        <w:t>Obstetrics and Gynecology Unit, Bolgatanga Regional Hospital, P.O. Box 26, Bolgatanga-Upper East Region, Ghana.</w:t>
      </w:r>
    </w:p>
    <w:p w:rsidR="00D17529" w:rsidRPr="009E46D2" w:rsidRDefault="00D17529" w:rsidP="00D17529">
      <w:pPr>
        <w:pStyle w:val="NoSpacing"/>
        <w:spacing w:line="360" w:lineRule="auto"/>
        <w:jc w:val="both"/>
        <w:rPr>
          <w:rFonts w:ascii="Arial" w:hAnsi="Arial" w:cs="Arial"/>
          <w:sz w:val="18"/>
          <w:szCs w:val="18"/>
        </w:rPr>
      </w:pPr>
      <w:r w:rsidRPr="009E46D2">
        <w:rPr>
          <w:rFonts w:ascii="Arial" w:hAnsi="Arial" w:cs="Arial"/>
          <w:sz w:val="18"/>
          <w:szCs w:val="18"/>
          <w:vertAlign w:val="superscript"/>
        </w:rPr>
        <w:t>4</w:t>
      </w:r>
      <w:r w:rsidRPr="009E46D2">
        <w:rPr>
          <w:rFonts w:ascii="Arial" w:hAnsi="Arial" w:cs="Arial"/>
          <w:sz w:val="18"/>
          <w:szCs w:val="18"/>
        </w:rPr>
        <w:t>Department of Biochemistry and Molecular Medicine, School of Medicine and Health Sciences, University for Development Studies, Tamale.</w:t>
      </w:r>
    </w:p>
    <w:p w:rsidR="00D17529" w:rsidRPr="009E46D2" w:rsidRDefault="00D17529" w:rsidP="00D17529">
      <w:pPr>
        <w:pStyle w:val="NoSpacing"/>
        <w:spacing w:line="360" w:lineRule="auto"/>
        <w:jc w:val="both"/>
        <w:rPr>
          <w:rFonts w:ascii="Arial" w:hAnsi="Arial" w:cs="Arial"/>
          <w:sz w:val="18"/>
          <w:szCs w:val="18"/>
        </w:rPr>
      </w:pPr>
      <w:r w:rsidRPr="009E46D2">
        <w:rPr>
          <w:rFonts w:ascii="Arial" w:hAnsi="Arial" w:cs="Arial"/>
          <w:sz w:val="18"/>
          <w:szCs w:val="18"/>
          <w:vertAlign w:val="superscript"/>
        </w:rPr>
        <w:t>5</w:t>
      </w:r>
      <w:r w:rsidRPr="009E46D2">
        <w:rPr>
          <w:rFonts w:ascii="Arial" w:hAnsi="Arial" w:cs="Arial"/>
          <w:sz w:val="18"/>
          <w:szCs w:val="18"/>
        </w:rPr>
        <w:t>Department of Molecular Medicine, School of Medical Science, Kwame Nkrumah University of Science and Technology, Kumasi, Ghana.</w:t>
      </w:r>
    </w:p>
    <w:p w:rsidR="00D17529" w:rsidRPr="009E46D2" w:rsidRDefault="00D17529" w:rsidP="00D17529">
      <w:pPr>
        <w:pStyle w:val="NoSpacing"/>
        <w:spacing w:line="360" w:lineRule="auto"/>
        <w:jc w:val="both"/>
        <w:rPr>
          <w:rFonts w:ascii="Arial" w:hAnsi="Arial" w:cs="Arial"/>
          <w:sz w:val="18"/>
          <w:szCs w:val="18"/>
        </w:rPr>
      </w:pPr>
      <w:r w:rsidRPr="009E46D2">
        <w:rPr>
          <w:rFonts w:ascii="Arial" w:hAnsi="Arial" w:cs="Arial"/>
          <w:sz w:val="18"/>
          <w:szCs w:val="18"/>
          <w:vertAlign w:val="superscript"/>
        </w:rPr>
        <w:t>6</w:t>
      </w:r>
      <w:r w:rsidRPr="009E46D2">
        <w:rPr>
          <w:rFonts w:ascii="Arial" w:hAnsi="Arial" w:cs="Arial"/>
          <w:sz w:val="18"/>
          <w:szCs w:val="18"/>
        </w:rPr>
        <w:t>Department of Medical Laboratory Technology, Royal Ann College of Health, Atwima-Manhyia, Kumasi, Ghana.</w:t>
      </w:r>
    </w:p>
    <w:p w:rsidR="008E130C" w:rsidRPr="009E46D2" w:rsidRDefault="008E130C" w:rsidP="008E130C">
      <w:pPr>
        <w:autoSpaceDE w:val="0"/>
        <w:autoSpaceDN w:val="0"/>
        <w:adjustRightInd w:val="0"/>
        <w:spacing w:after="0" w:line="240" w:lineRule="auto"/>
        <w:rPr>
          <w:rFonts w:ascii="Arial" w:hAnsi="Arial" w:cs="Arial"/>
          <w:sz w:val="18"/>
          <w:szCs w:val="18"/>
        </w:rPr>
      </w:pPr>
      <w:r w:rsidRPr="009E46D2">
        <w:rPr>
          <w:rFonts w:ascii="Arial" w:hAnsi="Arial" w:cs="Arial"/>
          <w:sz w:val="18"/>
          <w:szCs w:val="18"/>
          <w:vertAlign w:val="superscript"/>
        </w:rPr>
        <w:t>7</w:t>
      </w:r>
      <w:r w:rsidRPr="009E46D2">
        <w:rPr>
          <w:rFonts w:ascii="Arial" w:hAnsi="Arial" w:cs="Arial"/>
          <w:sz w:val="18"/>
          <w:szCs w:val="18"/>
        </w:rPr>
        <w:t xml:space="preserve">School of Medical </w:t>
      </w:r>
      <w:r w:rsidRPr="009E46D2">
        <w:rPr>
          <w:rFonts w:ascii="Arial" w:hAnsi="Arial" w:cs="Arial"/>
          <w:sz w:val="18"/>
          <w:szCs w:val="18"/>
        </w:rPr>
        <w:t xml:space="preserve">and Health Science, Edith Cowan </w:t>
      </w:r>
      <w:r w:rsidRPr="009E46D2">
        <w:rPr>
          <w:rFonts w:ascii="Arial" w:hAnsi="Arial" w:cs="Arial"/>
          <w:sz w:val="18"/>
          <w:szCs w:val="18"/>
        </w:rPr>
        <w:t>University, Perth, WA, Australia.</w:t>
      </w:r>
    </w:p>
    <w:p w:rsidR="00D17529" w:rsidRPr="009E46D2" w:rsidRDefault="009E46D2" w:rsidP="009E46D2">
      <w:pPr>
        <w:pStyle w:val="NoSpacing"/>
        <w:tabs>
          <w:tab w:val="left" w:pos="1287"/>
        </w:tabs>
        <w:spacing w:line="360" w:lineRule="auto"/>
        <w:jc w:val="both"/>
        <w:rPr>
          <w:rFonts w:ascii="Arial" w:hAnsi="Arial" w:cs="Arial"/>
          <w:sz w:val="18"/>
          <w:szCs w:val="18"/>
        </w:rPr>
      </w:pPr>
      <w:r w:rsidRPr="009E46D2">
        <w:rPr>
          <w:rFonts w:ascii="Arial" w:hAnsi="Arial" w:cs="Arial"/>
          <w:sz w:val="18"/>
          <w:szCs w:val="18"/>
        </w:rPr>
        <w:tab/>
      </w:r>
    </w:p>
    <w:p w:rsidR="00D17529" w:rsidRPr="009E46D2" w:rsidRDefault="00D17529" w:rsidP="00D17529">
      <w:pPr>
        <w:pStyle w:val="NoSpacing"/>
        <w:spacing w:line="276" w:lineRule="auto"/>
        <w:rPr>
          <w:rFonts w:ascii="Arial" w:hAnsi="Arial" w:cs="Arial"/>
          <w:sz w:val="18"/>
          <w:szCs w:val="18"/>
        </w:rPr>
      </w:pPr>
      <w:r w:rsidRPr="009E46D2">
        <w:rPr>
          <w:rFonts w:ascii="Arial" w:hAnsi="Arial" w:cs="Arial"/>
          <w:sz w:val="18"/>
          <w:szCs w:val="18"/>
        </w:rPr>
        <w:t>*Corresponding author</w:t>
      </w:r>
    </w:p>
    <w:p w:rsidR="00EC13B5" w:rsidRPr="00A36253" w:rsidRDefault="009E46D2" w:rsidP="009E46D2">
      <w:pPr>
        <w:tabs>
          <w:tab w:val="left" w:pos="2073"/>
        </w:tabs>
        <w:autoSpaceDE w:val="0"/>
        <w:autoSpaceDN w:val="0"/>
        <w:adjustRightInd w:val="0"/>
        <w:spacing w:after="0" w:line="360" w:lineRule="auto"/>
        <w:ind w:firstLine="720"/>
        <w:jc w:val="both"/>
        <w:rPr>
          <w:rFonts w:ascii="Arial" w:hAnsi="Arial" w:cs="Arial"/>
          <w:b/>
          <w:color w:val="C0504D" w:themeColor="accent2"/>
          <w:sz w:val="20"/>
          <w:szCs w:val="20"/>
        </w:rPr>
      </w:pPr>
      <w:r>
        <w:rPr>
          <w:rFonts w:ascii="Arial" w:hAnsi="Arial" w:cs="Arial"/>
          <w:b/>
          <w:color w:val="C0504D" w:themeColor="accent2"/>
          <w:sz w:val="20"/>
          <w:szCs w:val="20"/>
        </w:rPr>
        <w:tab/>
      </w:r>
    </w:p>
    <w:p w:rsidR="00A36253" w:rsidRPr="00A36253" w:rsidRDefault="00A36253" w:rsidP="00BB318C">
      <w:pPr>
        <w:autoSpaceDE w:val="0"/>
        <w:autoSpaceDN w:val="0"/>
        <w:adjustRightInd w:val="0"/>
        <w:spacing w:after="0" w:line="360" w:lineRule="auto"/>
        <w:jc w:val="both"/>
        <w:rPr>
          <w:rFonts w:ascii="Arial" w:hAnsi="Arial" w:cs="Arial"/>
          <w:b/>
          <w:color w:val="C0504D" w:themeColor="accent2"/>
          <w:sz w:val="20"/>
          <w:szCs w:val="20"/>
        </w:rPr>
      </w:pPr>
      <w:r w:rsidRPr="00A36253">
        <w:rPr>
          <w:rFonts w:ascii="Arial" w:hAnsi="Arial" w:cs="Arial"/>
          <w:b/>
          <w:color w:val="C0504D" w:themeColor="accent2"/>
          <w:sz w:val="20"/>
          <w:szCs w:val="20"/>
        </w:rPr>
        <w:t>Abstract</w:t>
      </w:r>
    </w:p>
    <w:p w:rsidR="009B458F" w:rsidRPr="003F4C9E" w:rsidRDefault="0079638D" w:rsidP="00BB318C">
      <w:pPr>
        <w:autoSpaceDE w:val="0"/>
        <w:autoSpaceDN w:val="0"/>
        <w:adjustRightInd w:val="0"/>
        <w:spacing w:after="0" w:line="360" w:lineRule="auto"/>
        <w:jc w:val="both"/>
        <w:rPr>
          <w:rFonts w:ascii="Tw Cen MT" w:hAnsi="Tw Cen MT" w:cs="Times New Roman"/>
          <w:color w:val="131413"/>
          <w:sz w:val="18"/>
          <w:szCs w:val="18"/>
        </w:rPr>
      </w:pPr>
      <w:r>
        <w:rPr>
          <w:rFonts w:ascii="Tw Cen MT" w:hAnsi="Tw Cen MT" w:cs="Times New Roman"/>
          <w:color w:val="131413"/>
          <w:sz w:val="18"/>
          <w:szCs w:val="18"/>
        </w:rPr>
        <w:t>Statement of the P</w:t>
      </w:r>
      <w:r w:rsidR="00490C4B">
        <w:rPr>
          <w:rFonts w:ascii="Tw Cen MT" w:hAnsi="Tw Cen MT" w:cs="Times New Roman"/>
          <w:color w:val="131413"/>
          <w:sz w:val="18"/>
          <w:szCs w:val="18"/>
        </w:rPr>
        <w:t>roblem</w:t>
      </w:r>
      <w:r w:rsidR="009B458F" w:rsidRPr="003F4C9E">
        <w:rPr>
          <w:rFonts w:ascii="Tw Cen MT" w:hAnsi="Tw Cen MT" w:cs="Times New Roman"/>
          <w:color w:val="131413"/>
          <w:sz w:val="18"/>
          <w:szCs w:val="18"/>
        </w:rPr>
        <w:t>: Anemia in pregnancy may not only be associated with maternal morbi</w:t>
      </w:r>
      <w:r w:rsidR="009B458F" w:rsidRPr="003F4C9E">
        <w:rPr>
          <w:rFonts w:ascii="Tw Cen MT" w:hAnsi="Tw Cen MT" w:cs="Times New Roman"/>
          <w:color w:val="131413"/>
          <w:sz w:val="18"/>
          <w:szCs w:val="18"/>
        </w:rPr>
        <w:t xml:space="preserve">dity and mortality but can also </w:t>
      </w:r>
      <w:r w:rsidR="009B458F" w:rsidRPr="003F4C9E">
        <w:rPr>
          <w:rFonts w:ascii="Tw Cen MT" w:hAnsi="Tw Cen MT" w:cs="Times New Roman"/>
          <w:color w:val="131413"/>
          <w:sz w:val="18"/>
          <w:szCs w:val="18"/>
        </w:rPr>
        <w:t>be detrimental to the fetus. A definitive diagnosis of anemia is a pre-requisite to un</w:t>
      </w:r>
      <w:r w:rsidR="009B458F" w:rsidRPr="003F4C9E">
        <w:rPr>
          <w:rFonts w:ascii="Tw Cen MT" w:hAnsi="Tw Cen MT" w:cs="Times New Roman"/>
          <w:color w:val="131413"/>
          <w:sz w:val="18"/>
          <w:szCs w:val="18"/>
        </w:rPr>
        <w:t xml:space="preserve">ravelling possible cause(s), to </w:t>
      </w:r>
      <w:r w:rsidR="009B458F" w:rsidRPr="003F4C9E">
        <w:rPr>
          <w:rFonts w:ascii="Tw Cen MT" w:hAnsi="Tw Cen MT" w:cs="Times New Roman"/>
          <w:color w:val="131413"/>
          <w:sz w:val="18"/>
          <w:szCs w:val="18"/>
        </w:rPr>
        <w:t>allow appropriate treatment intervention. It is hypothesised that measured hemo</w:t>
      </w:r>
      <w:r w:rsidR="009B458F" w:rsidRPr="003F4C9E">
        <w:rPr>
          <w:rFonts w:ascii="Tw Cen MT" w:hAnsi="Tw Cen MT" w:cs="Times New Roman"/>
          <w:color w:val="131413"/>
          <w:sz w:val="18"/>
          <w:szCs w:val="18"/>
        </w:rPr>
        <w:t xml:space="preserve">globin (HGB), complemented by </w:t>
      </w:r>
      <w:r w:rsidR="009B458F" w:rsidRPr="003F4C9E">
        <w:rPr>
          <w:rFonts w:ascii="Tw Cen MT" w:hAnsi="Tw Cen MT" w:cs="Times New Roman"/>
          <w:color w:val="131413"/>
          <w:sz w:val="18"/>
          <w:szCs w:val="18"/>
        </w:rPr>
        <w:t>biochemical and other hematological parameters would enhance anemia diagnosis.</w:t>
      </w:r>
    </w:p>
    <w:p w:rsidR="009B458F" w:rsidRPr="003F4C9E" w:rsidRDefault="003841A1" w:rsidP="00BB318C">
      <w:pPr>
        <w:autoSpaceDE w:val="0"/>
        <w:autoSpaceDN w:val="0"/>
        <w:adjustRightInd w:val="0"/>
        <w:spacing w:after="0" w:line="360" w:lineRule="auto"/>
        <w:jc w:val="both"/>
        <w:rPr>
          <w:rFonts w:ascii="Tw Cen MT" w:hAnsi="Tw Cen MT" w:cs="Times New Roman"/>
          <w:color w:val="131413"/>
          <w:sz w:val="18"/>
          <w:szCs w:val="18"/>
        </w:rPr>
      </w:pPr>
      <w:r>
        <w:rPr>
          <w:rFonts w:ascii="Tw Cen MT" w:hAnsi="Tw Cen MT" w:cs="Times New Roman"/>
          <w:color w:val="131413"/>
          <w:sz w:val="18"/>
          <w:szCs w:val="18"/>
        </w:rPr>
        <w:t>Methodology &amp;</w:t>
      </w:r>
      <w:r w:rsidR="0079638D">
        <w:rPr>
          <w:rFonts w:ascii="Tw Cen MT" w:hAnsi="Tw Cen MT" w:cs="Times New Roman"/>
          <w:color w:val="131413"/>
          <w:sz w:val="18"/>
          <w:szCs w:val="18"/>
        </w:rPr>
        <w:t xml:space="preserve"> Theoretical Orientation</w:t>
      </w:r>
      <w:r w:rsidR="009B458F" w:rsidRPr="003F4C9E">
        <w:rPr>
          <w:rFonts w:ascii="Tw Cen MT" w:hAnsi="Tw Cen MT" w:cs="Times New Roman"/>
          <w:color w:val="131413"/>
          <w:sz w:val="18"/>
          <w:szCs w:val="18"/>
        </w:rPr>
        <w:t>: This was a cross-sectional study among 400 pregnant women comprisi</w:t>
      </w:r>
      <w:r w:rsidR="009B458F" w:rsidRPr="003F4C9E">
        <w:rPr>
          <w:rFonts w:ascii="Tw Cen MT" w:hAnsi="Tw Cen MT" w:cs="Times New Roman"/>
          <w:color w:val="131413"/>
          <w:sz w:val="18"/>
          <w:szCs w:val="18"/>
        </w:rPr>
        <w:t xml:space="preserve">ng 253 anemic and 147 nonanemic </w:t>
      </w:r>
      <w:r w:rsidR="009B458F" w:rsidRPr="003F4C9E">
        <w:rPr>
          <w:rFonts w:ascii="Tw Cen MT" w:hAnsi="Tw Cen MT" w:cs="Times New Roman"/>
          <w:color w:val="131413"/>
          <w:sz w:val="18"/>
          <w:szCs w:val="18"/>
        </w:rPr>
        <w:t>pregnant women, attending an antenatal clinic at Bolgatanga Regional Ho</w:t>
      </w:r>
      <w:r w:rsidR="009B458F" w:rsidRPr="003F4C9E">
        <w:rPr>
          <w:rFonts w:ascii="Tw Cen MT" w:hAnsi="Tw Cen MT" w:cs="Times New Roman"/>
          <w:color w:val="131413"/>
          <w:sz w:val="18"/>
          <w:szCs w:val="18"/>
        </w:rPr>
        <w:t xml:space="preserve">spital, Ghana. Venous blood was </w:t>
      </w:r>
      <w:r w:rsidR="009B458F" w:rsidRPr="003F4C9E">
        <w:rPr>
          <w:rFonts w:ascii="Tw Cen MT" w:hAnsi="Tw Cen MT" w:cs="Times New Roman"/>
          <w:color w:val="131413"/>
          <w:sz w:val="18"/>
          <w:szCs w:val="18"/>
        </w:rPr>
        <w:t>collected and hemoglobin genotype, complete blood count and biochemical paramet</w:t>
      </w:r>
      <w:r w:rsidR="009B458F" w:rsidRPr="003F4C9E">
        <w:rPr>
          <w:rFonts w:ascii="Tw Cen MT" w:hAnsi="Tw Cen MT" w:cs="Times New Roman"/>
          <w:color w:val="131413"/>
          <w:sz w:val="18"/>
          <w:szCs w:val="18"/>
        </w:rPr>
        <w:t xml:space="preserve">ers [ferritin, iron, total iron </w:t>
      </w:r>
      <w:r w:rsidR="009B458F" w:rsidRPr="003F4C9E">
        <w:rPr>
          <w:rFonts w:ascii="Tw Cen MT" w:hAnsi="Tw Cen MT" w:cs="Times New Roman"/>
          <w:color w:val="131413"/>
          <w:sz w:val="18"/>
          <w:szCs w:val="18"/>
        </w:rPr>
        <w:t>binding capacity (TIBC), transferrin saturation (TfS), C-reactive protein (CRP) and bi</w:t>
      </w:r>
      <w:r w:rsidR="009B458F" w:rsidRPr="003F4C9E">
        <w:rPr>
          <w:rFonts w:ascii="Tw Cen MT" w:hAnsi="Tw Cen MT" w:cs="Times New Roman"/>
          <w:color w:val="131413"/>
          <w:sz w:val="18"/>
          <w:szCs w:val="18"/>
        </w:rPr>
        <w:t xml:space="preserve">lirubin] were determined. Thick </w:t>
      </w:r>
      <w:r w:rsidR="009B458F" w:rsidRPr="003F4C9E">
        <w:rPr>
          <w:rFonts w:ascii="Tw Cen MT" w:hAnsi="Tw Cen MT" w:cs="Times New Roman"/>
          <w:color w:val="131413"/>
          <w:sz w:val="18"/>
          <w:szCs w:val="18"/>
        </w:rPr>
        <w:t>blood films were prepared for malaria parasitemia, while early morning stool a</w:t>
      </w:r>
      <w:r w:rsidR="009B458F" w:rsidRPr="003F4C9E">
        <w:rPr>
          <w:rFonts w:ascii="Tw Cen MT" w:hAnsi="Tw Cen MT" w:cs="Times New Roman"/>
          <w:color w:val="131413"/>
          <w:sz w:val="18"/>
          <w:szCs w:val="18"/>
        </w:rPr>
        <w:t xml:space="preserve">nd midstream urine samples were </w:t>
      </w:r>
      <w:r w:rsidR="009B458F" w:rsidRPr="003F4C9E">
        <w:rPr>
          <w:rFonts w:ascii="Tw Cen MT" w:hAnsi="Tw Cen MT" w:cs="Times New Roman"/>
          <w:color w:val="131413"/>
          <w:sz w:val="18"/>
          <w:szCs w:val="18"/>
        </w:rPr>
        <w:t>examined for enteric and urogenital parasites, respectively.</w:t>
      </w:r>
    </w:p>
    <w:p w:rsidR="009B458F" w:rsidRPr="003F4C9E" w:rsidRDefault="00E445C9" w:rsidP="00BB318C">
      <w:pPr>
        <w:autoSpaceDE w:val="0"/>
        <w:autoSpaceDN w:val="0"/>
        <w:adjustRightInd w:val="0"/>
        <w:spacing w:after="0" w:line="360" w:lineRule="auto"/>
        <w:jc w:val="both"/>
        <w:rPr>
          <w:rFonts w:ascii="Tw Cen MT" w:hAnsi="Tw Cen MT" w:cs="Times New Roman"/>
          <w:color w:val="131413"/>
          <w:sz w:val="18"/>
          <w:szCs w:val="18"/>
        </w:rPr>
      </w:pPr>
      <w:r>
        <w:rPr>
          <w:rFonts w:ascii="Tw Cen MT" w:hAnsi="Tw Cen MT" w:cs="Times New Roman"/>
          <w:color w:val="131413"/>
          <w:sz w:val="18"/>
          <w:szCs w:val="18"/>
        </w:rPr>
        <w:t>Findings</w:t>
      </w:r>
      <w:r w:rsidR="009B458F" w:rsidRPr="003F4C9E">
        <w:rPr>
          <w:rFonts w:ascii="Tw Cen MT" w:hAnsi="Tw Cen MT" w:cs="Times New Roman"/>
          <w:color w:val="131413"/>
          <w:sz w:val="18"/>
          <w:szCs w:val="18"/>
        </w:rPr>
        <w:t xml:space="preserve">: There were significantly reduced levels of HGB (p &lt; 0.0001), HCT (p &lt; 0.0001), MCV (p </w:t>
      </w:r>
      <w:r w:rsidR="009B458F" w:rsidRPr="003F4C9E">
        <w:rPr>
          <w:rFonts w:ascii="Tw Cen MT" w:hAnsi="Tw Cen MT" w:cs="Times New Roman"/>
          <w:color w:val="131413"/>
          <w:sz w:val="18"/>
          <w:szCs w:val="18"/>
        </w:rPr>
        <w:t xml:space="preserve">&lt; 0.0001), iron </w:t>
      </w:r>
      <w:r w:rsidR="009B458F" w:rsidRPr="003F4C9E">
        <w:rPr>
          <w:rFonts w:ascii="Tw Cen MT" w:hAnsi="Tw Cen MT" w:cs="Times New Roman"/>
          <w:color w:val="131413"/>
          <w:sz w:val="18"/>
          <w:szCs w:val="18"/>
        </w:rPr>
        <w:t xml:space="preserve">(0.0273), ferritin (p = 0.018) and transferrin saturation (0.0391) and increased WBC (p = 0.006), RDW (p </w:t>
      </w:r>
      <w:r w:rsidR="009B458F" w:rsidRPr="003F4C9E">
        <w:rPr>
          <w:rFonts w:ascii="Tw Cen MT" w:hAnsi="Tw Cen MT" w:cs="Times New Roman"/>
          <w:color w:val="131413"/>
          <w:sz w:val="18"/>
          <w:szCs w:val="18"/>
        </w:rPr>
        <w:t xml:space="preserve">= 0.0480), TIBC </w:t>
      </w:r>
      <w:r w:rsidR="009B458F" w:rsidRPr="003F4C9E">
        <w:rPr>
          <w:rFonts w:ascii="Tw Cen MT" w:hAnsi="Tw Cen MT" w:cs="Times New Roman"/>
          <w:color w:val="131413"/>
          <w:sz w:val="18"/>
          <w:szCs w:val="18"/>
        </w:rPr>
        <w:t>(p = 0.0438) and positivity of CRP in anemic, compared to non-anemic preg</w:t>
      </w:r>
      <w:r w:rsidR="009B458F" w:rsidRPr="003F4C9E">
        <w:rPr>
          <w:rFonts w:ascii="Tw Cen MT" w:hAnsi="Tw Cen MT" w:cs="Times New Roman"/>
          <w:color w:val="131413"/>
          <w:sz w:val="18"/>
          <w:szCs w:val="18"/>
        </w:rPr>
        <w:t xml:space="preserve">nant women. Anemic women were </w:t>
      </w:r>
      <w:r w:rsidR="009B458F" w:rsidRPr="003F4C9E">
        <w:rPr>
          <w:rFonts w:ascii="Tw Cen MT" w:hAnsi="Tw Cen MT" w:cs="Times New Roman"/>
          <w:color w:val="131413"/>
          <w:sz w:val="18"/>
          <w:szCs w:val="18"/>
        </w:rPr>
        <w:t xml:space="preserve">associated with increased proportion of hemoglobinopathies (AS, SS and SC), </w:t>
      </w:r>
      <w:r w:rsidR="009B458F" w:rsidRPr="003F4C9E">
        <w:rPr>
          <w:rFonts w:ascii="Tw Cen MT" w:hAnsi="Tw Cen MT" w:cs="Times New Roman"/>
          <w:i/>
          <w:color w:val="131413"/>
          <w:sz w:val="18"/>
          <w:szCs w:val="18"/>
        </w:rPr>
        <w:t>Plasmodium falciparum</w:t>
      </w:r>
      <w:r w:rsidR="009B458F" w:rsidRPr="003F4C9E">
        <w:rPr>
          <w:rFonts w:ascii="Tw Cen MT" w:hAnsi="Tw Cen MT" w:cs="Times New Roman"/>
          <w:color w:val="131413"/>
          <w:sz w:val="18"/>
          <w:szCs w:val="18"/>
        </w:rPr>
        <w:t xml:space="preserve">, </w:t>
      </w:r>
      <w:r w:rsidR="009B458F" w:rsidRPr="003F4C9E">
        <w:rPr>
          <w:rFonts w:ascii="Tw Cen MT" w:hAnsi="Tw Cen MT" w:cs="Times New Roman"/>
          <w:i/>
          <w:color w:val="131413"/>
          <w:sz w:val="18"/>
          <w:szCs w:val="18"/>
        </w:rPr>
        <w:t>Schistosoma</w:t>
      </w:r>
      <w:r w:rsidR="009B458F" w:rsidRPr="003F4C9E">
        <w:rPr>
          <w:rFonts w:ascii="Tw Cen MT" w:hAnsi="Tw Cen MT" w:cs="Times New Roman"/>
          <w:i/>
          <w:color w:val="131413"/>
          <w:sz w:val="18"/>
          <w:szCs w:val="18"/>
        </w:rPr>
        <w:t xml:space="preserve"> </w:t>
      </w:r>
      <w:r w:rsidR="009B458F" w:rsidRPr="003F4C9E">
        <w:rPr>
          <w:rFonts w:ascii="Tw Cen MT" w:hAnsi="Tw Cen MT" w:cs="Times New Roman"/>
          <w:i/>
          <w:color w:val="131413"/>
          <w:sz w:val="18"/>
          <w:szCs w:val="18"/>
        </w:rPr>
        <w:t>hematobium</w:t>
      </w:r>
      <w:r w:rsidR="009B458F" w:rsidRPr="003F4C9E">
        <w:rPr>
          <w:rFonts w:ascii="Tw Cen MT" w:hAnsi="Tw Cen MT" w:cs="Times New Roman"/>
          <w:color w:val="131413"/>
          <w:sz w:val="18"/>
          <w:szCs w:val="18"/>
        </w:rPr>
        <w:t xml:space="preserve"> and intestinal parasite infections.</w:t>
      </w:r>
    </w:p>
    <w:p w:rsidR="00DD1235" w:rsidRPr="003F4C9E" w:rsidRDefault="009B458F" w:rsidP="00BB318C">
      <w:pPr>
        <w:autoSpaceDE w:val="0"/>
        <w:autoSpaceDN w:val="0"/>
        <w:adjustRightInd w:val="0"/>
        <w:spacing w:after="0" w:line="360" w:lineRule="auto"/>
        <w:jc w:val="both"/>
        <w:rPr>
          <w:rFonts w:ascii="Tw Cen MT" w:hAnsi="Tw Cen MT" w:cs="Times New Roman"/>
          <w:color w:val="131413"/>
          <w:sz w:val="18"/>
          <w:szCs w:val="18"/>
        </w:rPr>
      </w:pPr>
      <w:r w:rsidRPr="003F4C9E">
        <w:rPr>
          <w:rFonts w:ascii="Tw Cen MT" w:hAnsi="Tw Cen MT" w:cs="Times New Roman"/>
          <w:color w:val="131413"/>
          <w:sz w:val="18"/>
          <w:szCs w:val="18"/>
        </w:rPr>
        <w:t>Conclusion</w:t>
      </w:r>
      <w:r w:rsidR="00E445C9">
        <w:rPr>
          <w:rFonts w:ascii="Tw Cen MT" w:hAnsi="Tw Cen MT" w:cs="Times New Roman"/>
          <w:color w:val="131413"/>
          <w:sz w:val="18"/>
          <w:szCs w:val="18"/>
        </w:rPr>
        <w:t xml:space="preserve"> and Significance</w:t>
      </w:r>
      <w:r w:rsidRPr="003F4C9E">
        <w:rPr>
          <w:rFonts w:ascii="Tw Cen MT" w:hAnsi="Tw Cen MT" w:cs="Times New Roman"/>
          <w:color w:val="131413"/>
          <w:sz w:val="18"/>
          <w:szCs w:val="18"/>
        </w:rPr>
        <w:t>: Anemic pregnant women are associated with a significant derang</w:t>
      </w:r>
      <w:r w:rsidRPr="003F4C9E">
        <w:rPr>
          <w:rFonts w:ascii="Tw Cen MT" w:hAnsi="Tw Cen MT" w:cs="Times New Roman"/>
          <w:color w:val="131413"/>
          <w:sz w:val="18"/>
          <w:szCs w:val="18"/>
        </w:rPr>
        <w:t xml:space="preserve">ement in hematological and iron </w:t>
      </w:r>
      <w:r w:rsidRPr="003F4C9E">
        <w:rPr>
          <w:rFonts w:ascii="Tw Cen MT" w:hAnsi="Tw Cen MT" w:cs="Times New Roman"/>
          <w:color w:val="131413"/>
          <w:sz w:val="18"/>
          <w:szCs w:val="18"/>
        </w:rPr>
        <w:t>indices that implicate iron deficiency. This was influenced by hemoglobinopathies and parasitic infections</w:t>
      </w:r>
      <w:r w:rsidR="00123B0B" w:rsidRPr="003F4C9E">
        <w:rPr>
          <w:rFonts w:ascii="Tw Cen MT" w:hAnsi="Tw Cen MT" w:cs="Times New Roman"/>
          <w:color w:val="131413"/>
          <w:sz w:val="18"/>
          <w:szCs w:val="18"/>
        </w:rPr>
        <w:t>.</w:t>
      </w:r>
    </w:p>
    <w:p w:rsidR="00890ED0" w:rsidRDefault="00890ED0" w:rsidP="00BB318C">
      <w:pPr>
        <w:autoSpaceDE w:val="0"/>
        <w:autoSpaceDN w:val="0"/>
        <w:adjustRightInd w:val="0"/>
        <w:spacing w:after="0" w:line="360" w:lineRule="auto"/>
        <w:jc w:val="both"/>
        <w:rPr>
          <w:rFonts w:ascii="Times New Roman" w:hAnsi="Times New Roman" w:cs="Times New Roman"/>
          <w:color w:val="131413"/>
        </w:rPr>
      </w:pPr>
    </w:p>
    <w:p w:rsidR="00890ED0" w:rsidRDefault="00890ED0" w:rsidP="00BB318C">
      <w:pPr>
        <w:autoSpaceDE w:val="0"/>
        <w:autoSpaceDN w:val="0"/>
        <w:adjustRightInd w:val="0"/>
        <w:spacing w:after="0" w:line="360" w:lineRule="auto"/>
        <w:jc w:val="both"/>
        <w:rPr>
          <w:rFonts w:ascii="Times New Roman" w:hAnsi="Times New Roman" w:cs="Times New Roman"/>
          <w:color w:val="131413"/>
        </w:rPr>
      </w:pPr>
    </w:p>
    <w:p w:rsidR="00890ED0" w:rsidRPr="00890ED0" w:rsidRDefault="00890ED0" w:rsidP="00735382">
      <w:pPr>
        <w:tabs>
          <w:tab w:val="left" w:pos="1754"/>
        </w:tabs>
        <w:spacing w:after="0" w:line="240" w:lineRule="auto"/>
        <w:rPr>
          <w:rFonts w:ascii="Arial" w:eastAsia="Times New Roman" w:hAnsi="Arial" w:cs="Arial"/>
          <w:color w:val="C0504D" w:themeColor="accent2"/>
          <w:sz w:val="20"/>
          <w:szCs w:val="20"/>
          <w:lang w:bidi="ar-SA"/>
        </w:rPr>
      </w:pPr>
      <w:r w:rsidRPr="00890ED0">
        <w:rPr>
          <w:rFonts w:ascii="Arial" w:eastAsia="Times New Roman" w:hAnsi="Arial" w:cs="Arial"/>
          <w:b/>
          <w:color w:val="C0504D" w:themeColor="accent2"/>
          <w:sz w:val="20"/>
          <w:szCs w:val="20"/>
          <w:lang w:bidi="ar-SA"/>
        </w:rPr>
        <w:t>Publications:</w:t>
      </w:r>
      <w:r w:rsidR="00735382" w:rsidRPr="00A36253">
        <w:rPr>
          <w:rFonts w:ascii="Arial" w:eastAsia="Times New Roman" w:hAnsi="Arial" w:cs="Arial"/>
          <w:b/>
          <w:color w:val="C0504D" w:themeColor="accent2"/>
          <w:sz w:val="20"/>
          <w:szCs w:val="20"/>
          <w:lang w:bidi="ar-SA"/>
        </w:rPr>
        <w:tab/>
      </w:r>
    </w:p>
    <w:p w:rsidR="00890ED0" w:rsidRPr="00890ED0" w:rsidRDefault="00890ED0" w:rsidP="00122657">
      <w:pPr>
        <w:spacing w:after="0" w:line="240" w:lineRule="auto"/>
        <w:jc w:val="both"/>
        <w:rPr>
          <w:rFonts w:eastAsia="Times New Roman" w:cs="Times New Roman"/>
          <w:sz w:val="18"/>
          <w:szCs w:val="18"/>
        </w:rPr>
      </w:pPr>
      <w:r w:rsidRPr="00890ED0">
        <w:rPr>
          <w:rFonts w:eastAsia="Times New Roman" w:cs="Times New Roman"/>
          <w:sz w:val="18"/>
          <w:szCs w:val="18"/>
        </w:rPr>
        <w:t xml:space="preserve">            Sociodemographic and </w:t>
      </w:r>
      <w:r w:rsidR="00601FBF">
        <w:rPr>
          <w:rFonts w:eastAsia="Times New Roman" w:cs="Times New Roman"/>
          <w:sz w:val="18"/>
          <w:szCs w:val="18"/>
        </w:rPr>
        <w:t>obstetric characteristics of an</w:t>
      </w:r>
      <w:r w:rsidRPr="00890ED0">
        <w:rPr>
          <w:rFonts w:eastAsia="Times New Roman" w:cs="Times New Roman"/>
          <w:sz w:val="18"/>
          <w:szCs w:val="18"/>
        </w:rPr>
        <w:t>emic pregnant women attending</w:t>
      </w:r>
    </w:p>
    <w:p w:rsidR="00890ED0" w:rsidRPr="00890ED0" w:rsidRDefault="00890ED0" w:rsidP="00122657">
      <w:pPr>
        <w:spacing w:after="0" w:line="240" w:lineRule="auto"/>
        <w:jc w:val="both"/>
        <w:rPr>
          <w:rFonts w:eastAsia="Times New Roman" w:cs="Times New Roman"/>
          <w:sz w:val="18"/>
          <w:szCs w:val="18"/>
        </w:rPr>
      </w:pPr>
      <w:r w:rsidRPr="00890ED0">
        <w:rPr>
          <w:rFonts w:eastAsia="Times New Roman" w:cs="Times New Roman"/>
          <w:sz w:val="18"/>
          <w:szCs w:val="18"/>
        </w:rPr>
        <w:t xml:space="preserve">            Antenatal clinic in Bolgatanga Regional Hospital</w:t>
      </w:r>
    </w:p>
    <w:p w:rsidR="00890ED0" w:rsidRPr="00890ED0" w:rsidRDefault="00890ED0" w:rsidP="00122657">
      <w:pPr>
        <w:spacing w:after="0" w:line="240" w:lineRule="auto"/>
        <w:jc w:val="both"/>
        <w:rPr>
          <w:rFonts w:eastAsia="Times New Roman" w:cs="Times New Roman"/>
          <w:sz w:val="18"/>
          <w:szCs w:val="18"/>
        </w:rPr>
      </w:pPr>
      <w:r w:rsidRPr="00890ED0">
        <w:rPr>
          <w:rFonts w:eastAsia="Times New Roman" w:cs="Times New Roman"/>
          <w:sz w:val="18"/>
          <w:szCs w:val="18"/>
        </w:rPr>
        <w:lastRenderedPageBreak/>
        <w:t xml:space="preserve">            B Ahenkorah, K Nsiah, P Baffoe. Scientifica. 2016.</w:t>
      </w:r>
    </w:p>
    <w:p w:rsidR="00890ED0" w:rsidRPr="00890ED0" w:rsidRDefault="00122657" w:rsidP="00122657">
      <w:pPr>
        <w:tabs>
          <w:tab w:val="left" w:pos="1172"/>
        </w:tabs>
        <w:spacing w:after="0" w:line="240" w:lineRule="auto"/>
        <w:jc w:val="both"/>
        <w:rPr>
          <w:rFonts w:eastAsia="Times New Roman" w:cs="Times New Roman"/>
          <w:sz w:val="18"/>
          <w:szCs w:val="18"/>
        </w:rPr>
      </w:pPr>
      <w:r w:rsidRPr="00735382">
        <w:rPr>
          <w:rFonts w:eastAsia="Times New Roman" w:cs="Times New Roman"/>
          <w:sz w:val="18"/>
          <w:szCs w:val="18"/>
        </w:rPr>
        <w:tab/>
      </w:r>
    </w:p>
    <w:p w:rsidR="00890ED0" w:rsidRPr="00890ED0" w:rsidRDefault="00890ED0" w:rsidP="00122657">
      <w:pPr>
        <w:spacing w:after="0" w:line="240" w:lineRule="auto"/>
        <w:jc w:val="both"/>
        <w:rPr>
          <w:rFonts w:eastAsia="Times New Roman" w:cs="Times New Roman"/>
          <w:sz w:val="18"/>
          <w:szCs w:val="18"/>
        </w:rPr>
      </w:pPr>
      <w:r w:rsidRPr="00890ED0">
        <w:rPr>
          <w:rFonts w:eastAsia="Times New Roman" w:cs="Times New Roman"/>
          <w:sz w:val="18"/>
          <w:szCs w:val="18"/>
        </w:rPr>
        <w:t xml:space="preserve"> </w:t>
      </w:r>
      <w:r w:rsidRPr="00735382">
        <w:rPr>
          <w:rFonts w:eastAsia="Times New Roman" w:cs="Times New Roman"/>
          <w:sz w:val="18"/>
          <w:szCs w:val="18"/>
        </w:rPr>
        <w:t xml:space="preserve">           </w:t>
      </w:r>
      <w:r w:rsidRPr="00890ED0">
        <w:rPr>
          <w:rFonts w:eastAsia="Times New Roman" w:cs="Times New Roman"/>
          <w:sz w:val="18"/>
          <w:szCs w:val="18"/>
        </w:rPr>
        <w:t>A comparative assessment of the glucose monitor (SD Codefree) and auto analyzer</w:t>
      </w:r>
    </w:p>
    <w:p w:rsidR="00890ED0" w:rsidRPr="00890ED0" w:rsidRDefault="00890ED0" w:rsidP="00122657">
      <w:pPr>
        <w:spacing w:after="0" w:line="240" w:lineRule="auto"/>
        <w:jc w:val="both"/>
        <w:rPr>
          <w:rFonts w:eastAsia="Times New Roman" w:cs="Times New Roman"/>
          <w:sz w:val="18"/>
          <w:szCs w:val="18"/>
        </w:rPr>
      </w:pPr>
      <w:r w:rsidRPr="00890ED0">
        <w:rPr>
          <w:rFonts w:eastAsia="Times New Roman" w:cs="Times New Roman"/>
          <w:sz w:val="18"/>
          <w:szCs w:val="18"/>
        </w:rPr>
        <w:t xml:space="preserve">            (BT-3000) in   measuring blood glucose concentration among diabetic patients</w:t>
      </w:r>
    </w:p>
    <w:p w:rsidR="00890ED0" w:rsidRPr="00890ED0" w:rsidRDefault="00890ED0" w:rsidP="00122657">
      <w:pPr>
        <w:spacing w:after="0" w:line="240" w:lineRule="auto"/>
        <w:jc w:val="both"/>
        <w:rPr>
          <w:rFonts w:eastAsia="Times New Roman" w:cs="Times New Roman"/>
          <w:sz w:val="18"/>
          <w:szCs w:val="18"/>
        </w:rPr>
      </w:pPr>
      <w:r w:rsidRPr="00890ED0">
        <w:rPr>
          <w:rFonts w:eastAsia="Times New Roman" w:cs="Times New Roman"/>
          <w:sz w:val="18"/>
          <w:szCs w:val="18"/>
        </w:rPr>
        <w:t xml:space="preserve">            ON Kanwugu, GK Helegbe, PA Aryee, NA Akontatiba, J Ankrah, ...B Ahenkorah.</w:t>
      </w:r>
    </w:p>
    <w:p w:rsidR="00890ED0" w:rsidRPr="00890ED0" w:rsidRDefault="00890ED0" w:rsidP="00122657">
      <w:pPr>
        <w:spacing w:after="0" w:line="240" w:lineRule="auto"/>
        <w:jc w:val="both"/>
        <w:rPr>
          <w:rFonts w:eastAsia="Times New Roman" w:cs="Times New Roman"/>
          <w:sz w:val="18"/>
          <w:szCs w:val="18"/>
        </w:rPr>
      </w:pPr>
      <w:r w:rsidRPr="00890ED0">
        <w:rPr>
          <w:rFonts w:eastAsia="Times New Roman" w:cs="Times New Roman"/>
          <w:sz w:val="18"/>
          <w:szCs w:val="18"/>
        </w:rPr>
        <w:t xml:space="preserve">            BMC research notes 10 (1), 453, 2017.</w:t>
      </w:r>
    </w:p>
    <w:p w:rsidR="00A87190" w:rsidRPr="00A36253" w:rsidRDefault="00A87190" w:rsidP="00122657">
      <w:pPr>
        <w:autoSpaceDE w:val="0"/>
        <w:autoSpaceDN w:val="0"/>
        <w:adjustRightInd w:val="0"/>
        <w:spacing w:after="0" w:line="360" w:lineRule="auto"/>
        <w:jc w:val="both"/>
        <w:rPr>
          <w:rFonts w:cs="Times New Roman"/>
          <w:color w:val="C0504D" w:themeColor="accent2"/>
          <w:sz w:val="18"/>
          <w:szCs w:val="18"/>
        </w:rPr>
      </w:pPr>
    </w:p>
    <w:p w:rsidR="00890ED0" w:rsidRPr="00A36253" w:rsidRDefault="00A87190" w:rsidP="00A87190">
      <w:pPr>
        <w:rPr>
          <w:rFonts w:ascii="Arial" w:hAnsi="Arial" w:cs="Arial"/>
          <w:b/>
          <w:color w:val="C0504D" w:themeColor="accent2"/>
        </w:rPr>
      </w:pPr>
      <w:r w:rsidRPr="00A36253">
        <w:rPr>
          <w:rFonts w:ascii="Arial" w:hAnsi="Arial" w:cs="Arial"/>
          <w:b/>
          <w:color w:val="C0504D" w:themeColor="accent2"/>
        </w:rPr>
        <w:t>Biography</w:t>
      </w:r>
    </w:p>
    <w:p w:rsidR="00A97EB1" w:rsidRPr="003F0FD9" w:rsidRDefault="00A87190" w:rsidP="00E71699">
      <w:pPr>
        <w:spacing w:line="360" w:lineRule="auto"/>
        <w:jc w:val="both"/>
        <w:rPr>
          <w:rFonts w:ascii="Arial" w:hAnsi="Arial" w:cs="Arial"/>
          <w:sz w:val="14"/>
          <w:szCs w:val="14"/>
        </w:rPr>
      </w:pPr>
      <w:r w:rsidRPr="003F0FD9">
        <w:rPr>
          <w:rFonts w:ascii="Arial" w:hAnsi="Arial" w:cs="Arial"/>
          <w:sz w:val="14"/>
          <w:szCs w:val="14"/>
        </w:rPr>
        <w:t>Benjamin Ahenkora</w:t>
      </w:r>
      <w:r w:rsidR="00CF73E7" w:rsidRPr="003F0FD9">
        <w:rPr>
          <w:rFonts w:ascii="Arial" w:hAnsi="Arial" w:cs="Arial"/>
          <w:sz w:val="14"/>
          <w:szCs w:val="14"/>
        </w:rPr>
        <w:t>h is a PhD Immunology student at the</w:t>
      </w:r>
      <w:r w:rsidRPr="003F0FD9">
        <w:rPr>
          <w:rFonts w:ascii="Arial" w:hAnsi="Arial" w:cs="Arial"/>
          <w:sz w:val="14"/>
          <w:szCs w:val="14"/>
        </w:rPr>
        <w:t xml:space="preserve"> Molecular Medicine Department of the Kwame Nkrumah University of Science and Technology, Ghana. He is currently researching on the role of endothelial progenitor cells in pregnancies complicated with preeclampsia, G6PD deficiency, alpha thalassemia and sickle cell disease in association with </w:t>
      </w:r>
      <w:r w:rsidR="00D73007" w:rsidRPr="003F0FD9">
        <w:rPr>
          <w:rFonts w:ascii="Arial" w:hAnsi="Arial" w:cs="Arial"/>
          <w:sz w:val="14"/>
          <w:szCs w:val="14"/>
        </w:rPr>
        <w:t>placental malaria.</w:t>
      </w:r>
      <w:r w:rsidR="00813BA7">
        <w:rPr>
          <w:rFonts w:ascii="Arial" w:hAnsi="Arial" w:cs="Arial"/>
          <w:sz w:val="14"/>
          <w:szCs w:val="14"/>
        </w:rPr>
        <w:t xml:space="preserve"> He is analyzing a list of proangiogenic and anti-angiogenic biomarkers, tumour antigens, pro and anti-inflammatory cytokines, clinical chemistry parameters in relation to radiological tests such as unbilical artery Doppler and Electrocardiography. </w:t>
      </w:r>
      <w:r w:rsidR="00150984">
        <w:rPr>
          <w:rFonts w:ascii="Arial" w:hAnsi="Arial" w:cs="Arial"/>
          <w:sz w:val="14"/>
          <w:szCs w:val="14"/>
        </w:rPr>
        <w:t xml:space="preserve"> It is expected that the</w:t>
      </w:r>
      <w:bookmarkStart w:id="0" w:name="_GoBack"/>
      <w:bookmarkEnd w:id="0"/>
      <w:r w:rsidR="00D73007" w:rsidRPr="003F0FD9">
        <w:rPr>
          <w:rFonts w:ascii="Arial" w:hAnsi="Arial" w:cs="Arial"/>
          <w:sz w:val="14"/>
          <w:szCs w:val="14"/>
        </w:rPr>
        <w:t xml:space="preserve"> findings of the study will clearly define the mechanism of endothelial damage in the aforementioned diatheses.</w:t>
      </w:r>
    </w:p>
    <w:p w:rsidR="00A97EB1" w:rsidRDefault="00A97EB1" w:rsidP="00A97EB1">
      <w:pPr>
        <w:rPr>
          <w:rFonts w:ascii="Times New Roman" w:hAnsi="Times New Roman" w:cs="Times New Roman"/>
        </w:rPr>
      </w:pPr>
    </w:p>
    <w:p w:rsidR="00A97EB1" w:rsidRPr="00AC2C5F" w:rsidRDefault="00A97EB1" w:rsidP="00E03D18">
      <w:pPr>
        <w:pStyle w:val="NoSpacing"/>
        <w:spacing w:line="276" w:lineRule="auto"/>
        <w:jc w:val="center"/>
        <w:rPr>
          <w:rFonts w:ascii="Arial" w:hAnsi="Arial" w:cs="Arial"/>
          <w:sz w:val="14"/>
          <w:szCs w:val="14"/>
        </w:rPr>
      </w:pPr>
      <w:r w:rsidRPr="00AC2C5F">
        <w:rPr>
          <w:rFonts w:ascii="Arial" w:hAnsi="Arial" w:cs="Arial"/>
          <w:sz w:val="14"/>
          <w:szCs w:val="14"/>
        </w:rPr>
        <w:t xml:space="preserve">Email: </w:t>
      </w:r>
      <w:r w:rsidRPr="00010BC3">
        <w:rPr>
          <w:rFonts w:ascii="Arial" w:hAnsi="Arial" w:cs="Arial"/>
          <w:sz w:val="14"/>
          <w:szCs w:val="14"/>
          <w:u w:val="single"/>
        </w:rPr>
        <w:t>benahenkorah.cos@gmail.com/bennahie@yahoo.com</w:t>
      </w:r>
    </w:p>
    <w:p w:rsidR="00A87190" w:rsidRPr="00A97EB1" w:rsidRDefault="00A87190" w:rsidP="00A97EB1">
      <w:pPr>
        <w:rPr>
          <w:rFonts w:ascii="Times New Roman" w:hAnsi="Times New Roman" w:cs="Times New Roman"/>
        </w:rPr>
      </w:pPr>
    </w:p>
    <w:sectPr w:rsidR="00A87190" w:rsidRPr="00A97E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58F"/>
    <w:rsid w:val="00010BC3"/>
    <w:rsid w:val="00012F5C"/>
    <w:rsid w:val="00051296"/>
    <w:rsid w:val="00062A01"/>
    <w:rsid w:val="000F10E6"/>
    <w:rsid w:val="00122657"/>
    <w:rsid w:val="00123B0B"/>
    <w:rsid w:val="00150984"/>
    <w:rsid w:val="0017015A"/>
    <w:rsid w:val="001B0326"/>
    <w:rsid w:val="00222910"/>
    <w:rsid w:val="00287BDF"/>
    <w:rsid w:val="002F568C"/>
    <w:rsid w:val="00333537"/>
    <w:rsid w:val="003841A1"/>
    <w:rsid w:val="003F0FD9"/>
    <w:rsid w:val="003F4C9E"/>
    <w:rsid w:val="00430242"/>
    <w:rsid w:val="00490C4B"/>
    <w:rsid w:val="004E13AB"/>
    <w:rsid w:val="004E6257"/>
    <w:rsid w:val="004F47C2"/>
    <w:rsid w:val="00566D16"/>
    <w:rsid w:val="005D2394"/>
    <w:rsid w:val="005F76F0"/>
    <w:rsid w:val="00601FBF"/>
    <w:rsid w:val="00647242"/>
    <w:rsid w:val="006B2583"/>
    <w:rsid w:val="006F6D1E"/>
    <w:rsid w:val="00735382"/>
    <w:rsid w:val="0079638D"/>
    <w:rsid w:val="007A18A3"/>
    <w:rsid w:val="00813BA7"/>
    <w:rsid w:val="00890ED0"/>
    <w:rsid w:val="008B1B00"/>
    <w:rsid w:val="008D2D55"/>
    <w:rsid w:val="008E130C"/>
    <w:rsid w:val="009B458F"/>
    <w:rsid w:val="009E46D2"/>
    <w:rsid w:val="00A03D18"/>
    <w:rsid w:val="00A36253"/>
    <w:rsid w:val="00A545A8"/>
    <w:rsid w:val="00A635C4"/>
    <w:rsid w:val="00A87190"/>
    <w:rsid w:val="00A97232"/>
    <w:rsid w:val="00A97EB1"/>
    <w:rsid w:val="00AC2C5F"/>
    <w:rsid w:val="00AE19F0"/>
    <w:rsid w:val="00BB318C"/>
    <w:rsid w:val="00BF286E"/>
    <w:rsid w:val="00C063C3"/>
    <w:rsid w:val="00C43B9F"/>
    <w:rsid w:val="00C67EDC"/>
    <w:rsid w:val="00CD03E3"/>
    <w:rsid w:val="00CF73E7"/>
    <w:rsid w:val="00D17529"/>
    <w:rsid w:val="00D73007"/>
    <w:rsid w:val="00DB764D"/>
    <w:rsid w:val="00DD1235"/>
    <w:rsid w:val="00E03D18"/>
    <w:rsid w:val="00E12DDB"/>
    <w:rsid w:val="00E40A97"/>
    <w:rsid w:val="00E445C9"/>
    <w:rsid w:val="00E71699"/>
    <w:rsid w:val="00EC13B5"/>
    <w:rsid w:val="00ED3C74"/>
    <w:rsid w:val="00F060BE"/>
    <w:rsid w:val="00F83949"/>
    <w:rsid w:val="00FB2400"/>
    <w:rsid w:val="00FE0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752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1752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0A551-6E7F-4B28-9542-05F8DCFBC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BENJAMIN AHENKORAH</dc:creator>
  <cp:lastModifiedBy>BENJAMIN AHENKORAH</cp:lastModifiedBy>
  <cp:revision>73</cp:revision>
  <dcterms:created xsi:type="dcterms:W3CDTF">2019-04-29T23:02:00Z</dcterms:created>
  <dcterms:modified xsi:type="dcterms:W3CDTF">2019-04-30T00:06:00Z</dcterms:modified>
</cp:coreProperties>
</file>