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53E" w:rsidRPr="00A4253E" w:rsidRDefault="00A4253E" w:rsidP="00A4253E">
      <w:pPr>
        <w:rPr>
          <w:rFonts w:ascii="Minion Pro" w:hAnsi="Minion Pro"/>
          <w:b/>
          <w:color w:val="548DD4" w:themeColor="text2" w:themeTint="99"/>
          <w:sz w:val="36"/>
          <w:szCs w:val="36"/>
        </w:rPr>
      </w:pPr>
      <w:r w:rsidRPr="00A4253E">
        <w:rPr>
          <w:rFonts w:ascii="Minion Pro" w:hAnsi="Minion Pro"/>
          <w:b/>
          <w:color w:val="548DD4" w:themeColor="text2" w:themeTint="99"/>
          <w:sz w:val="36"/>
          <w:szCs w:val="36"/>
        </w:rPr>
        <w:t>TWO NOVEL DNMT3A MUTATIONS IN ACUTE MYELOID LEUKEMIA</w:t>
      </w:r>
    </w:p>
    <w:p w:rsidR="00A4253E" w:rsidRDefault="00A4253E" w:rsidP="005973B9">
      <w:pPr>
        <w:pStyle w:val="Corpodeltesto"/>
        <w:spacing w:before="73" w:line="198" w:lineRule="exact"/>
        <w:ind w:left="100" w:right="5987"/>
        <w:rPr>
          <w:rFonts w:ascii="Arial"/>
        </w:rPr>
      </w:pPr>
    </w:p>
    <w:p w:rsidR="009261B8" w:rsidRDefault="009261B8" w:rsidP="009261B8">
      <w:pPr>
        <w:rPr>
          <w:rFonts w:ascii="Arial" w:hAnsi="Arial" w:cs="Arial"/>
          <w:sz w:val="18"/>
          <w:lang w:val="it-IT"/>
        </w:rPr>
      </w:pPr>
      <w:r>
        <w:rPr>
          <w:rFonts w:ascii="Arial" w:hAnsi="Arial" w:cs="Arial"/>
          <w:sz w:val="18"/>
          <w:lang w:val="it-IT"/>
        </w:rPr>
        <w:t xml:space="preserve">Bruno S, 1,  </w:t>
      </w:r>
      <w:proofErr w:type="spellStart"/>
      <w:r>
        <w:rPr>
          <w:rFonts w:ascii="Arial" w:hAnsi="Arial" w:cs="Arial"/>
          <w:sz w:val="18"/>
          <w:lang w:val="it-IT"/>
        </w:rPr>
        <w:t>Bochicchio</w:t>
      </w:r>
      <w:proofErr w:type="spellEnd"/>
      <w:r>
        <w:rPr>
          <w:rFonts w:ascii="Arial" w:hAnsi="Arial" w:cs="Arial"/>
          <w:sz w:val="18"/>
          <w:lang w:val="it-IT"/>
        </w:rPr>
        <w:t xml:space="preserve"> MT, 2</w:t>
      </w:r>
      <w:r w:rsidRPr="009261B8">
        <w:rPr>
          <w:rFonts w:ascii="Arial" w:hAnsi="Arial" w:cs="Arial"/>
          <w:sz w:val="18"/>
          <w:lang w:val="it-IT"/>
        </w:rPr>
        <w:t xml:space="preserve">, </w:t>
      </w:r>
      <w:proofErr w:type="spellStart"/>
      <w:r w:rsidRPr="009261B8">
        <w:rPr>
          <w:rFonts w:ascii="Arial" w:hAnsi="Arial" w:cs="Arial"/>
          <w:sz w:val="18"/>
          <w:lang w:val="it-IT"/>
        </w:rPr>
        <w:t>Franchini</w:t>
      </w:r>
      <w:proofErr w:type="spellEnd"/>
      <w:r w:rsidRPr="009261B8">
        <w:rPr>
          <w:rFonts w:ascii="Arial" w:hAnsi="Arial" w:cs="Arial"/>
          <w:sz w:val="18"/>
          <w:lang w:val="it-IT"/>
        </w:rPr>
        <w:t xml:space="preserve"> E, 1,</w:t>
      </w:r>
      <w:r>
        <w:rPr>
          <w:rFonts w:ascii="Arial" w:hAnsi="Arial" w:cs="Arial"/>
          <w:sz w:val="18"/>
          <w:lang w:val="it-IT"/>
        </w:rPr>
        <w:t xml:space="preserve"> Padella A, 1, </w:t>
      </w:r>
      <w:proofErr w:type="spellStart"/>
      <w:r>
        <w:rPr>
          <w:rFonts w:ascii="Arial" w:hAnsi="Arial" w:cs="Arial"/>
          <w:sz w:val="18"/>
          <w:lang w:val="it-IT"/>
        </w:rPr>
        <w:t>Pazzaglia</w:t>
      </w:r>
      <w:proofErr w:type="spellEnd"/>
      <w:r>
        <w:rPr>
          <w:rFonts w:ascii="Arial" w:hAnsi="Arial" w:cs="Arial"/>
          <w:sz w:val="18"/>
          <w:lang w:val="it-IT"/>
        </w:rPr>
        <w:t xml:space="preserve"> M, 1, Raffini M, </w:t>
      </w:r>
      <w:proofErr w:type="spellStart"/>
      <w:r>
        <w:rPr>
          <w:rFonts w:ascii="Arial" w:hAnsi="Arial" w:cs="Arial"/>
          <w:sz w:val="18"/>
          <w:lang w:val="it-IT"/>
        </w:rPr>
        <w:t>Bandini</w:t>
      </w:r>
      <w:proofErr w:type="spellEnd"/>
      <w:r>
        <w:rPr>
          <w:rFonts w:ascii="Arial" w:hAnsi="Arial" w:cs="Arial"/>
          <w:sz w:val="18"/>
          <w:lang w:val="it-IT"/>
        </w:rPr>
        <w:t xml:space="preserve"> L, Venturi C, 1, </w:t>
      </w:r>
      <w:proofErr w:type="spellStart"/>
      <w:r w:rsidRPr="009261B8">
        <w:rPr>
          <w:rFonts w:ascii="Arial" w:hAnsi="Arial" w:cs="Arial"/>
          <w:sz w:val="18"/>
          <w:lang w:val="it-IT"/>
        </w:rPr>
        <w:t>Simonetti</w:t>
      </w:r>
      <w:proofErr w:type="spellEnd"/>
      <w:r w:rsidRPr="009261B8">
        <w:rPr>
          <w:rFonts w:ascii="Arial" w:hAnsi="Arial" w:cs="Arial"/>
          <w:sz w:val="18"/>
          <w:lang w:val="it-IT"/>
        </w:rPr>
        <w:t xml:space="preserve"> G, </w:t>
      </w:r>
      <w:r>
        <w:rPr>
          <w:rFonts w:ascii="Arial" w:hAnsi="Arial" w:cs="Arial"/>
          <w:sz w:val="18"/>
          <w:lang w:val="it-IT"/>
        </w:rPr>
        <w:t>2</w:t>
      </w:r>
      <w:r w:rsidRPr="009261B8">
        <w:rPr>
          <w:rFonts w:ascii="Arial" w:hAnsi="Arial" w:cs="Arial"/>
          <w:sz w:val="18"/>
          <w:lang w:val="it-IT"/>
        </w:rPr>
        <w:t xml:space="preserve">, </w:t>
      </w:r>
      <w:proofErr w:type="spellStart"/>
      <w:r>
        <w:rPr>
          <w:rFonts w:ascii="Arial" w:hAnsi="Arial" w:cs="Arial"/>
          <w:sz w:val="18"/>
          <w:lang w:val="it-IT"/>
        </w:rPr>
        <w:t>Soverini</w:t>
      </w:r>
      <w:proofErr w:type="spellEnd"/>
      <w:r>
        <w:rPr>
          <w:rFonts w:ascii="Arial" w:hAnsi="Arial" w:cs="Arial"/>
          <w:sz w:val="18"/>
          <w:lang w:val="it-IT"/>
        </w:rPr>
        <w:t xml:space="preserve"> S,1,</w:t>
      </w:r>
      <w:r w:rsidRPr="009261B8">
        <w:rPr>
          <w:rFonts w:ascii="Arial" w:hAnsi="Arial" w:cs="Arial"/>
          <w:sz w:val="18"/>
          <w:lang w:val="it-IT"/>
        </w:rPr>
        <w:t xml:space="preserve"> </w:t>
      </w:r>
      <w:proofErr w:type="spellStart"/>
      <w:r w:rsidRPr="009261B8">
        <w:rPr>
          <w:rFonts w:ascii="Arial" w:hAnsi="Arial" w:cs="Arial"/>
          <w:sz w:val="18"/>
          <w:lang w:val="it-IT"/>
        </w:rPr>
        <w:t>Ottaviani</w:t>
      </w:r>
      <w:proofErr w:type="spellEnd"/>
      <w:r w:rsidRPr="009261B8">
        <w:rPr>
          <w:rFonts w:ascii="Arial" w:hAnsi="Arial" w:cs="Arial"/>
          <w:sz w:val="18"/>
          <w:lang w:val="it-IT"/>
        </w:rPr>
        <w:t xml:space="preserve"> M,1, and Martinelli G, 2.</w:t>
      </w:r>
    </w:p>
    <w:p w:rsidR="009261B8" w:rsidRPr="009261B8" w:rsidRDefault="009261B8" w:rsidP="009261B8">
      <w:pPr>
        <w:rPr>
          <w:rFonts w:ascii="Arial" w:hAnsi="Arial" w:cs="Arial"/>
          <w:sz w:val="18"/>
          <w:lang w:val="it-IT"/>
        </w:rPr>
      </w:pPr>
    </w:p>
    <w:p w:rsidR="009261B8" w:rsidRPr="009261B8" w:rsidRDefault="009261B8" w:rsidP="009261B8">
      <w:pPr>
        <w:rPr>
          <w:rFonts w:ascii="Arial" w:hAnsi="Arial" w:cs="Arial"/>
          <w:sz w:val="18"/>
        </w:rPr>
      </w:pPr>
      <w:r w:rsidRPr="009261B8">
        <w:rPr>
          <w:rFonts w:ascii="Arial" w:hAnsi="Arial" w:cs="Arial"/>
          <w:sz w:val="18"/>
        </w:rPr>
        <w:t>1 Department of Experimental, Diagnostic and Specialty Medicine, University of Bologna.</w:t>
      </w:r>
    </w:p>
    <w:p w:rsidR="009261B8" w:rsidRPr="009261B8" w:rsidRDefault="009261B8" w:rsidP="009261B8">
      <w:pPr>
        <w:rPr>
          <w:rFonts w:ascii="Arial" w:hAnsi="Arial" w:cs="Arial"/>
          <w:sz w:val="18"/>
          <w:lang w:val="it-IT"/>
        </w:rPr>
      </w:pPr>
      <w:r w:rsidRPr="009261B8">
        <w:rPr>
          <w:rFonts w:ascii="Arial" w:hAnsi="Arial" w:cs="Arial"/>
          <w:sz w:val="18"/>
          <w:lang w:val="it-IT"/>
        </w:rPr>
        <w:t xml:space="preserve">2 Istituto Scientifico Romagnolo Per Lo Studio e la Cura dei Tumori, </w:t>
      </w:r>
      <w:proofErr w:type="spellStart"/>
      <w:r w:rsidRPr="009261B8">
        <w:rPr>
          <w:rFonts w:ascii="Arial" w:hAnsi="Arial" w:cs="Arial"/>
          <w:sz w:val="18"/>
          <w:lang w:val="it-IT"/>
        </w:rPr>
        <w:t>Meldola</w:t>
      </w:r>
      <w:proofErr w:type="spellEnd"/>
      <w:r w:rsidRPr="009261B8">
        <w:rPr>
          <w:rFonts w:ascii="Arial" w:hAnsi="Arial" w:cs="Arial"/>
          <w:sz w:val="18"/>
          <w:lang w:val="it-IT"/>
        </w:rPr>
        <w:t>, Italy.</w:t>
      </w:r>
    </w:p>
    <w:p w:rsidR="00AE3E37" w:rsidRDefault="00AE3E37">
      <w:pPr>
        <w:pStyle w:val="Corpodeltesto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itolo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B36E83" w:rsidRPr="00D3269D" w:rsidRDefault="00B36E83" w:rsidP="00B36E83">
      <w:pPr>
        <w:spacing w:line="276" w:lineRule="auto"/>
        <w:jc w:val="both"/>
        <w:rPr>
          <w:sz w:val="18"/>
          <w:szCs w:val="24"/>
        </w:rPr>
      </w:pPr>
      <w:r w:rsidRPr="00D3269D">
        <w:rPr>
          <w:sz w:val="18"/>
        </w:rPr>
        <w:t xml:space="preserve">Statement of the Problem: </w:t>
      </w:r>
      <w:r w:rsidRPr="00D3269D">
        <w:rPr>
          <w:rFonts w:cs="Times New Roman"/>
          <w:sz w:val="18"/>
        </w:rPr>
        <w:t xml:space="preserve">Recurrent somatic mutations of </w:t>
      </w:r>
      <w:r w:rsidRPr="00D3269D">
        <w:rPr>
          <w:rFonts w:cs="Times New Roman"/>
          <w:i/>
          <w:sz w:val="18"/>
        </w:rPr>
        <w:t>DNMT3A</w:t>
      </w:r>
      <w:r w:rsidRPr="00D3269D">
        <w:rPr>
          <w:rFonts w:cs="Times New Roman"/>
          <w:sz w:val="18"/>
        </w:rPr>
        <w:t xml:space="preserve"> occur in about 20% of </w:t>
      </w:r>
      <w:r w:rsidR="008F3798">
        <w:rPr>
          <w:rFonts w:cs="Times New Roman"/>
          <w:sz w:val="18"/>
        </w:rPr>
        <w:t>acute myeloid leukemia (A</w:t>
      </w:r>
      <w:r w:rsidRPr="00D3269D">
        <w:rPr>
          <w:rFonts w:cs="Times New Roman"/>
          <w:sz w:val="18"/>
        </w:rPr>
        <w:t>ML</w:t>
      </w:r>
      <w:r w:rsidR="008F3798">
        <w:rPr>
          <w:rFonts w:cs="Times New Roman"/>
          <w:sz w:val="18"/>
        </w:rPr>
        <w:t>)</w:t>
      </w:r>
      <w:r w:rsidRPr="00D3269D">
        <w:rPr>
          <w:rFonts w:cs="Times New Roman"/>
          <w:sz w:val="18"/>
        </w:rPr>
        <w:t xml:space="preserve"> patients</w:t>
      </w:r>
      <w:r w:rsidR="008169B1">
        <w:rPr>
          <w:rFonts w:cs="Times New Roman"/>
          <w:sz w:val="18"/>
        </w:rPr>
        <w:t>,</w:t>
      </w:r>
      <w:r w:rsidRPr="00D3269D">
        <w:rPr>
          <w:rFonts w:cs="Times New Roman"/>
          <w:sz w:val="18"/>
        </w:rPr>
        <w:t xml:space="preserve"> targetin</w:t>
      </w:r>
      <w:r w:rsidR="008169B1">
        <w:rPr>
          <w:rFonts w:cs="Times New Roman"/>
          <w:sz w:val="18"/>
        </w:rPr>
        <w:t xml:space="preserve">g a hot spot site at R882 </w:t>
      </w:r>
      <w:proofErr w:type="spellStart"/>
      <w:r w:rsidR="008169B1">
        <w:rPr>
          <w:rFonts w:cs="Times New Roman"/>
          <w:sz w:val="18"/>
        </w:rPr>
        <w:t>codon</w:t>
      </w:r>
      <w:proofErr w:type="spellEnd"/>
      <w:r w:rsidR="007425F4">
        <w:rPr>
          <w:rFonts w:cs="Times New Roman"/>
          <w:sz w:val="18"/>
        </w:rPr>
        <w:t xml:space="preserve"> [1]</w:t>
      </w:r>
      <w:r w:rsidR="008F3798">
        <w:rPr>
          <w:rFonts w:cs="Times New Roman"/>
          <w:sz w:val="18"/>
        </w:rPr>
        <w:t xml:space="preserve">. </w:t>
      </w:r>
      <w:r w:rsidR="008169B1" w:rsidRPr="00D3269D">
        <w:rPr>
          <w:rFonts w:cs="Times New Roman"/>
          <w:i/>
          <w:sz w:val="18"/>
        </w:rPr>
        <w:t>DNMT3A</w:t>
      </w:r>
      <w:r w:rsidR="008169B1" w:rsidRPr="00D3269D">
        <w:rPr>
          <w:rFonts w:cs="Times New Roman"/>
          <w:sz w:val="18"/>
        </w:rPr>
        <w:t xml:space="preserve"> </w:t>
      </w:r>
      <w:r w:rsidR="008169B1">
        <w:rPr>
          <w:rFonts w:cs="Times New Roman"/>
          <w:sz w:val="18"/>
        </w:rPr>
        <w:t xml:space="preserve">mutations </w:t>
      </w:r>
      <w:r w:rsidRPr="00D3269D">
        <w:rPr>
          <w:rFonts w:cs="Times New Roman"/>
          <w:sz w:val="18"/>
        </w:rPr>
        <w:t xml:space="preserve">in primary AML samples are </w:t>
      </w:r>
      <w:r w:rsidR="00205860">
        <w:rPr>
          <w:rFonts w:cs="Times New Roman"/>
          <w:sz w:val="18"/>
        </w:rPr>
        <w:t>often</w:t>
      </w:r>
      <w:r w:rsidRPr="00D3269D">
        <w:rPr>
          <w:rFonts w:cs="Times New Roman"/>
          <w:sz w:val="18"/>
        </w:rPr>
        <w:t xml:space="preserve"> heterozygous and are associated with </w:t>
      </w:r>
      <w:proofErr w:type="spellStart"/>
      <w:r w:rsidR="008169B1" w:rsidRPr="00D3269D">
        <w:rPr>
          <w:rFonts w:cs="Times New Roman"/>
          <w:sz w:val="18"/>
        </w:rPr>
        <w:t>CpG</w:t>
      </w:r>
      <w:proofErr w:type="spellEnd"/>
      <w:r w:rsidR="008169B1" w:rsidRPr="00D3269D">
        <w:rPr>
          <w:rFonts w:cs="Times New Roman"/>
          <w:sz w:val="18"/>
        </w:rPr>
        <w:t xml:space="preserve"> </w:t>
      </w:r>
      <w:proofErr w:type="spellStart"/>
      <w:r w:rsidRPr="00D3269D">
        <w:rPr>
          <w:rFonts w:cs="Times New Roman"/>
          <w:sz w:val="18"/>
        </w:rPr>
        <w:t>hypomethylat</w:t>
      </w:r>
      <w:r w:rsidR="00A562BB">
        <w:rPr>
          <w:rFonts w:cs="Times New Roman"/>
          <w:sz w:val="18"/>
        </w:rPr>
        <w:t>ion</w:t>
      </w:r>
      <w:proofErr w:type="spellEnd"/>
      <w:r w:rsidRPr="00D3269D">
        <w:rPr>
          <w:rFonts w:cs="Times New Roman"/>
          <w:sz w:val="18"/>
        </w:rPr>
        <w:t xml:space="preserve"> </w:t>
      </w:r>
      <w:r>
        <w:rPr>
          <w:rFonts w:cs="Times New Roman"/>
          <w:sz w:val="18"/>
        </w:rPr>
        <w:t>[</w:t>
      </w:r>
      <w:r w:rsidR="000071D6">
        <w:rPr>
          <w:rFonts w:cs="Times New Roman"/>
          <w:sz w:val="18"/>
        </w:rPr>
        <w:t>2</w:t>
      </w:r>
      <w:r>
        <w:rPr>
          <w:rFonts w:cs="Times New Roman"/>
          <w:sz w:val="18"/>
        </w:rPr>
        <w:t>]</w:t>
      </w:r>
      <w:r w:rsidR="00A562BB">
        <w:rPr>
          <w:rFonts w:cs="Times New Roman"/>
          <w:sz w:val="18"/>
        </w:rPr>
        <w:t>, which</w:t>
      </w:r>
      <w:r w:rsidRPr="00D3269D">
        <w:rPr>
          <w:rFonts w:cs="Times New Roman"/>
          <w:sz w:val="18"/>
        </w:rPr>
        <w:t xml:space="preserve"> result in high </w:t>
      </w:r>
      <w:proofErr w:type="spellStart"/>
      <w:r w:rsidRPr="00D3269D">
        <w:rPr>
          <w:rFonts w:cs="Times New Roman"/>
          <w:sz w:val="18"/>
        </w:rPr>
        <w:t>myeloblast</w:t>
      </w:r>
      <w:proofErr w:type="spellEnd"/>
      <w:r w:rsidRPr="00D3269D">
        <w:rPr>
          <w:rFonts w:cs="Times New Roman"/>
          <w:sz w:val="18"/>
        </w:rPr>
        <w:t xml:space="preserve"> counts, and poor prognosis </w:t>
      </w:r>
      <w:r>
        <w:rPr>
          <w:rFonts w:cs="Times New Roman"/>
          <w:sz w:val="18"/>
        </w:rPr>
        <w:t>[</w:t>
      </w:r>
      <w:r w:rsidR="000071D6">
        <w:rPr>
          <w:rFonts w:cs="Times New Roman"/>
          <w:sz w:val="18"/>
        </w:rPr>
        <w:t>3</w:t>
      </w:r>
      <w:r>
        <w:rPr>
          <w:rFonts w:cs="Times New Roman"/>
          <w:sz w:val="18"/>
        </w:rPr>
        <w:t>]</w:t>
      </w:r>
      <w:r w:rsidRPr="00D3269D">
        <w:rPr>
          <w:rFonts w:cs="Times New Roman"/>
          <w:sz w:val="18"/>
        </w:rPr>
        <w:t>.</w:t>
      </w:r>
      <w:r w:rsidRPr="00D3269D">
        <w:rPr>
          <w:sz w:val="16"/>
          <w:szCs w:val="24"/>
        </w:rPr>
        <w:t xml:space="preserve"> </w:t>
      </w:r>
      <w:r w:rsidRPr="00D3269D">
        <w:rPr>
          <w:rFonts w:cs="Times New Roman"/>
          <w:sz w:val="18"/>
        </w:rPr>
        <w:t xml:space="preserve">The study aims to characterize two new mutations in the </w:t>
      </w:r>
      <w:r w:rsidRPr="00D3269D">
        <w:rPr>
          <w:rFonts w:cs="Times New Roman"/>
          <w:i/>
          <w:sz w:val="18"/>
        </w:rPr>
        <w:t>DNMT3A</w:t>
      </w:r>
      <w:r w:rsidRPr="00D3269D">
        <w:rPr>
          <w:rFonts w:cs="Times New Roman"/>
          <w:sz w:val="18"/>
        </w:rPr>
        <w:t xml:space="preserve"> gene,</w:t>
      </w:r>
      <w:r w:rsidR="008F3798" w:rsidRPr="008F3798">
        <w:rPr>
          <w:rFonts w:cs="Times New Roman"/>
          <w:sz w:val="18"/>
        </w:rPr>
        <w:t xml:space="preserve"> </w:t>
      </w:r>
      <w:r w:rsidR="008F3798" w:rsidRPr="00D3269D">
        <w:rPr>
          <w:rFonts w:cs="Times New Roman"/>
          <w:sz w:val="18"/>
        </w:rPr>
        <w:t>identified</w:t>
      </w:r>
      <w:r w:rsidR="00205860">
        <w:rPr>
          <w:rFonts w:cs="Times New Roman"/>
          <w:sz w:val="18"/>
        </w:rPr>
        <w:t xml:space="preserve"> in two </w:t>
      </w:r>
      <w:r w:rsidRPr="00D3269D">
        <w:rPr>
          <w:rFonts w:cs="Times New Roman"/>
          <w:sz w:val="18"/>
        </w:rPr>
        <w:t>AML patients.</w:t>
      </w:r>
      <w:r>
        <w:rPr>
          <w:rFonts w:cs="Times New Roman"/>
          <w:sz w:val="18"/>
        </w:rPr>
        <w:t xml:space="preserve"> </w:t>
      </w:r>
      <w:r w:rsidRPr="00D3269D">
        <w:rPr>
          <w:sz w:val="18"/>
        </w:rPr>
        <w:t>Methodology &amp; Theoretical Orientation:</w:t>
      </w:r>
      <w:r w:rsidRPr="00D3269D">
        <w:rPr>
          <w:sz w:val="18"/>
          <w:szCs w:val="24"/>
        </w:rPr>
        <w:t xml:space="preserve"> </w:t>
      </w:r>
      <w:r>
        <w:rPr>
          <w:sz w:val="18"/>
          <w:szCs w:val="24"/>
        </w:rPr>
        <w:t xml:space="preserve">DNA was extracted from </w:t>
      </w:r>
      <w:r w:rsidR="00A562BB">
        <w:rPr>
          <w:sz w:val="18"/>
          <w:szCs w:val="24"/>
        </w:rPr>
        <w:t xml:space="preserve"> </w:t>
      </w:r>
      <w:proofErr w:type="spellStart"/>
      <w:r>
        <w:rPr>
          <w:sz w:val="18"/>
          <w:szCs w:val="24"/>
        </w:rPr>
        <w:t>mononucl</w:t>
      </w:r>
      <w:r w:rsidR="00A562BB">
        <w:rPr>
          <w:sz w:val="18"/>
          <w:szCs w:val="24"/>
        </w:rPr>
        <w:t>eate</w:t>
      </w:r>
      <w:r w:rsidRPr="00D3269D">
        <w:rPr>
          <w:sz w:val="18"/>
          <w:szCs w:val="24"/>
        </w:rPr>
        <w:t>d</w:t>
      </w:r>
      <w:proofErr w:type="spellEnd"/>
      <w:r w:rsidRPr="00D3269D">
        <w:rPr>
          <w:sz w:val="18"/>
          <w:szCs w:val="24"/>
        </w:rPr>
        <w:t xml:space="preserve"> cells</w:t>
      </w:r>
      <w:r w:rsidR="00A562BB">
        <w:rPr>
          <w:sz w:val="18"/>
          <w:szCs w:val="24"/>
        </w:rPr>
        <w:t xml:space="preserve"> </w:t>
      </w:r>
      <w:r w:rsidR="008F3798">
        <w:rPr>
          <w:sz w:val="18"/>
          <w:szCs w:val="24"/>
        </w:rPr>
        <w:t>and it was sequenced by</w:t>
      </w:r>
      <w:r w:rsidR="00205860">
        <w:rPr>
          <w:sz w:val="18"/>
          <w:szCs w:val="24"/>
        </w:rPr>
        <w:t xml:space="preserve"> </w:t>
      </w:r>
      <w:r w:rsidRPr="00D3269D">
        <w:rPr>
          <w:sz w:val="18"/>
          <w:szCs w:val="24"/>
        </w:rPr>
        <w:t>Sanger Sequencing</w:t>
      </w:r>
      <w:r w:rsidR="008F3798">
        <w:rPr>
          <w:sz w:val="18"/>
          <w:szCs w:val="24"/>
        </w:rPr>
        <w:t xml:space="preserve"> and Next-Generation sequencing</w:t>
      </w:r>
      <w:r w:rsidRPr="00D3269D">
        <w:rPr>
          <w:sz w:val="18"/>
          <w:szCs w:val="24"/>
        </w:rPr>
        <w:t xml:space="preserve">. Sequences obtained were mapped to human reference genome GRCh37/hg19 and annotated using </w:t>
      </w:r>
      <w:r>
        <w:rPr>
          <w:sz w:val="18"/>
          <w:szCs w:val="24"/>
        </w:rPr>
        <w:t>I</w:t>
      </w:r>
      <w:r w:rsidRPr="00D3269D">
        <w:rPr>
          <w:sz w:val="18"/>
          <w:szCs w:val="24"/>
        </w:rPr>
        <w:t xml:space="preserve">on Reporter 5.10.2.0. The </w:t>
      </w:r>
      <w:proofErr w:type="spellStart"/>
      <w:r w:rsidRPr="00D3269D">
        <w:rPr>
          <w:sz w:val="18"/>
          <w:szCs w:val="24"/>
        </w:rPr>
        <w:t>MethylFlash</w:t>
      </w:r>
      <w:proofErr w:type="spellEnd"/>
      <w:r w:rsidRPr="00D3269D">
        <w:rPr>
          <w:sz w:val="18"/>
          <w:szCs w:val="24"/>
        </w:rPr>
        <w:t xml:space="preserve"> Methylated DNA Quantification Kit was used to detect </w:t>
      </w:r>
      <w:proofErr w:type="spellStart"/>
      <w:r w:rsidRPr="00D3269D">
        <w:rPr>
          <w:sz w:val="18"/>
          <w:szCs w:val="24"/>
        </w:rPr>
        <w:t>CpG</w:t>
      </w:r>
      <w:proofErr w:type="spellEnd"/>
      <w:r w:rsidRPr="00D3269D">
        <w:rPr>
          <w:sz w:val="18"/>
          <w:szCs w:val="24"/>
        </w:rPr>
        <w:t xml:space="preserve"> methylation status. DNMT3A protein level was assessed by western blot.</w:t>
      </w:r>
      <w:r>
        <w:rPr>
          <w:sz w:val="18"/>
          <w:szCs w:val="24"/>
        </w:rPr>
        <w:t xml:space="preserve"> </w:t>
      </w:r>
      <w:r w:rsidRPr="00D3269D">
        <w:rPr>
          <w:sz w:val="18"/>
        </w:rPr>
        <w:t>Findings:</w:t>
      </w:r>
      <w:r w:rsidRPr="00D3269D">
        <w:t xml:space="preserve"> </w:t>
      </w:r>
      <w:r w:rsidR="008F3798">
        <w:rPr>
          <w:sz w:val="18"/>
          <w:szCs w:val="24"/>
        </w:rPr>
        <w:t>Patient #1</w:t>
      </w:r>
      <w:r w:rsidRPr="00D3269D">
        <w:rPr>
          <w:sz w:val="18"/>
          <w:szCs w:val="24"/>
        </w:rPr>
        <w:t xml:space="preserve"> had 70% of blasts in the BM at diagnosis and showed an undescribed single nucleotide variant of </w:t>
      </w:r>
      <w:r w:rsidRPr="00D3269D">
        <w:rPr>
          <w:i/>
          <w:sz w:val="18"/>
          <w:szCs w:val="24"/>
        </w:rPr>
        <w:t>DNMT3A</w:t>
      </w:r>
      <w:r w:rsidRPr="00D3269D">
        <w:rPr>
          <w:sz w:val="18"/>
          <w:szCs w:val="24"/>
        </w:rPr>
        <w:t xml:space="preserve"> at exon 20 causing a premature STOP </w:t>
      </w:r>
      <w:proofErr w:type="spellStart"/>
      <w:r w:rsidRPr="00D3269D">
        <w:rPr>
          <w:sz w:val="18"/>
          <w:szCs w:val="24"/>
        </w:rPr>
        <w:t>codon</w:t>
      </w:r>
      <w:proofErr w:type="spellEnd"/>
      <w:r w:rsidRPr="00D3269D">
        <w:rPr>
          <w:sz w:val="18"/>
          <w:szCs w:val="24"/>
        </w:rPr>
        <w:t xml:space="preserve"> (</w:t>
      </w:r>
      <w:proofErr w:type="spellStart"/>
      <w:r w:rsidRPr="00D3269D">
        <w:rPr>
          <w:sz w:val="18"/>
          <w:szCs w:val="24"/>
        </w:rPr>
        <w:t>cDNA</w:t>
      </w:r>
      <w:proofErr w:type="spellEnd"/>
      <w:r w:rsidRPr="00D3269D">
        <w:rPr>
          <w:sz w:val="18"/>
          <w:szCs w:val="24"/>
        </w:rPr>
        <w:t xml:space="preserve"> c.2385G&gt;A; </w:t>
      </w:r>
      <w:proofErr w:type="spellStart"/>
      <w:r w:rsidRPr="00D3269D">
        <w:rPr>
          <w:sz w:val="18"/>
          <w:szCs w:val="24"/>
        </w:rPr>
        <w:t>tgG</w:t>
      </w:r>
      <w:proofErr w:type="spellEnd"/>
      <w:r w:rsidRPr="00D3269D">
        <w:rPr>
          <w:sz w:val="18"/>
          <w:szCs w:val="24"/>
        </w:rPr>
        <w:t>/</w:t>
      </w:r>
      <w:proofErr w:type="spellStart"/>
      <w:r w:rsidRPr="00D3269D">
        <w:rPr>
          <w:sz w:val="18"/>
          <w:szCs w:val="24"/>
        </w:rPr>
        <w:t>tgA</w:t>
      </w:r>
      <w:proofErr w:type="spellEnd"/>
      <w:r w:rsidRPr="00D3269D">
        <w:rPr>
          <w:sz w:val="18"/>
          <w:szCs w:val="24"/>
        </w:rPr>
        <w:t xml:space="preserve"> p.Trp795*; NM_022552;), coupled with </w:t>
      </w:r>
      <w:r w:rsidRPr="00D3269D">
        <w:rPr>
          <w:i/>
          <w:sz w:val="18"/>
          <w:szCs w:val="24"/>
        </w:rPr>
        <w:t>IDH2</w:t>
      </w:r>
      <w:r w:rsidR="008169B1">
        <w:rPr>
          <w:sz w:val="18"/>
          <w:szCs w:val="24"/>
        </w:rPr>
        <w:t xml:space="preserve"> R172K </w:t>
      </w:r>
      <w:r w:rsidRPr="00D3269D">
        <w:rPr>
          <w:sz w:val="18"/>
          <w:szCs w:val="24"/>
        </w:rPr>
        <w:t xml:space="preserve">mutation. The </w:t>
      </w:r>
      <w:r w:rsidRPr="00D3269D">
        <w:rPr>
          <w:i/>
          <w:sz w:val="18"/>
          <w:szCs w:val="24"/>
        </w:rPr>
        <w:t>DNMT3A</w:t>
      </w:r>
      <w:r w:rsidRPr="00D3269D">
        <w:rPr>
          <w:sz w:val="18"/>
          <w:szCs w:val="24"/>
        </w:rPr>
        <w:t xml:space="preserve"> mutation load </w:t>
      </w:r>
      <w:r w:rsidR="008F3798">
        <w:rPr>
          <w:sz w:val="18"/>
          <w:szCs w:val="24"/>
        </w:rPr>
        <w:t xml:space="preserve">increased from </w:t>
      </w:r>
      <w:r w:rsidRPr="00D3269D">
        <w:rPr>
          <w:sz w:val="18"/>
          <w:szCs w:val="24"/>
        </w:rPr>
        <w:t xml:space="preserve">4% in the diagnosis sample </w:t>
      </w:r>
      <w:r w:rsidR="008F3798">
        <w:rPr>
          <w:sz w:val="18"/>
          <w:szCs w:val="24"/>
        </w:rPr>
        <w:t>to 38.2% in the follow-up</w:t>
      </w:r>
      <w:r w:rsidRPr="00D3269D">
        <w:rPr>
          <w:sz w:val="18"/>
          <w:szCs w:val="24"/>
        </w:rPr>
        <w:t xml:space="preserve">, </w:t>
      </w:r>
      <w:r w:rsidR="008F3798">
        <w:rPr>
          <w:sz w:val="18"/>
          <w:szCs w:val="24"/>
        </w:rPr>
        <w:t>which</w:t>
      </w:r>
      <w:r w:rsidRPr="00D3269D">
        <w:rPr>
          <w:sz w:val="18"/>
          <w:szCs w:val="24"/>
        </w:rPr>
        <w:t xml:space="preserve"> had stable disease, evaluated 4 month after treatment</w:t>
      </w:r>
      <w:r w:rsidR="00A562BB">
        <w:rPr>
          <w:sz w:val="18"/>
          <w:szCs w:val="24"/>
        </w:rPr>
        <w:t xml:space="preserve"> in multicentric clinical trial</w:t>
      </w:r>
      <w:r w:rsidRPr="00D3269D">
        <w:rPr>
          <w:sz w:val="18"/>
          <w:szCs w:val="24"/>
        </w:rPr>
        <w:t xml:space="preserve">. </w:t>
      </w:r>
      <w:r w:rsidR="008F3798">
        <w:rPr>
          <w:sz w:val="18"/>
          <w:szCs w:val="24"/>
        </w:rPr>
        <w:t>T</w:t>
      </w:r>
      <w:r w:rsidR="00205860" w:rsidRPr="00D3269D">
        <w:rPr>
          <w:sz w:val="18"/>
          <w:szCs w:val="24"/>
        </w:rPr>
        <w:t>he increase of mutation rate correlated with DNA hypo-methy</w:t>
      </w:r>
      <w:r w:rsidR="00205860">
        <w:rPr>
          <w:sz w:val="18"/>
          <w:szCs w:val="24"/>
        </w:rPr>
        <w:t>lation</w:t>
      </w:r>
      <w:r w:rsidR="00205860" w:rsidRPr="00D3269D">
        <w:rPr>
          <w:sz w:val="18"/>
          <w:szCs w:val="24"/>
        </w:rPr>
        <w:t xml:space="preserve"> </w:t>
      </w:r>
      <w:r w:rsidR="002B1CD6">
        <w:rPr>
          <w:sz w:val="18"/>
          <w:szCs w:val="24"/>
        </w:rPr>
        <w:t>and</w:t>
      </w:r>
      <w:r w:rsidR="008F3798">
        <w:rPr>
          <w:sz w:val="18"/>
          <w:szCs w:val="24"/>
        </w:rPr>
        <w:t xml:space="preserve"> lead to loss of protein expression</w:t>
      </w:r>
      <w:r w:rsidR="00205860">
        <w:rPr>
          <w:sz w:val="18"/>
          <w:szCs w:val="24"/>
        </w:rPr>
        <w:t xml:space="preserve">. </w:t>
      </w:r>
      <w:r w:rsidRPr="00D3269D">
        <w:rPr>
          <w:sz w:val="18"/>
          <w:szCs w:val="24"/>
        </w:rPr>
        <w:t xml:space="preserve">Patient #2 had 80% of blasts in the BM at diagnosis and 90% at relapse, with a new insertion of 36 nucleotides in exon 22 of the </w:t>
      </w:r>
      <w:r w:rsidRPr="00D3269D">
        <w:rPr>
          <w:i/>
          <w:sz w:val="18"/>
          <w:szCs w:val="24"/>
        </w:rPr>
        <w:t>DNMT3A</w:t>
      </w:r>
      <w:r w:rsidRPr="00D3269D">
        <w:rPr>
          <w:sz w:val="18"/>
          <w:szCs w:val="24"/>
        </w:rPr>
        <w:t xml:space="preserve"> gene (c.2924_2925ins36: TCATGAATGAGAAAGAGGACATCTTATGGTGCACT), along with </w:t>
      </w:r>
      <w:r w:rsidRPr="00D3269D">
        <w:rPr>
          <w:i/>
          <w:sz w:val="18"/>
          <w:szCs w:val="24"/>
        </w:rPr>
        <w:t>FLT3</w:t>
      </w:r>
      <w:r w:rsidRPr="00D3269D">
        <w:rPr>
          <w:sz w:val="18"/>
          <w:szCs w:val="24"/>
        </w:rPr>
        <w:t>-ITD. DNMT3A mutation load was 27.5% at diagnosis and increased at 48% at relapse, which occurred 7</w:t>
      </w:r>
      <w:r>
        <w:rPr>
          <w:sz w:val="18"/>
          <w:szCs w:val="24"/>
        </w:rPr>
        <w:t xml:space="preserve"> month</w:t>
      </w:r>
      <w:r w:rsidRPr="00D3269D">
        <w:rPr>
          <w:sz w:val="18"/>
          <w:szCs w:val="24"/>
        </w:rPr>
        <w:t xml:space="preserve"> after compl</w:t>
      </w:r>
      <w:r w:rsidR="00A562BB">
        <w:rPr>
          <w:sz w:val="18"/>
          <w:szCs w:val="24"/>
        </w:rPr>
        <w:t>etion of chemotherapy treatment</w:t>
      </w:r>
      <w:r w:rsidRPr="00D3269D">
        <w:rPr>
          <w:sz w:val="18"/>
          <w:szCs w:val="24"/>
        </w:rPr>
        <w:t xml:space="preserve">. </w:t>
      </w:r>
      <w:r w:rsidR="00A562BB">
        <w:rPr>
          <w:sz w:val="18"/>
          <w:szCs w:val="24"/>
        </w:rPr>
        <w:t>W</w:t>
      </w:r>
      <w:r w:rsidRPr="00D3269D">
        <w:rPr>
          <w:sz w:val="18"/>
          <w:szCs w:val="24"/>
        </w:rPr>
        <w:t>e did not observe a significant variation of protein levels</w:t>
      </w:r>
      <w:r w:rsidR="00A562BB">
        <w:rPr>
          <w:sz w:val="18"/>
          <w:szCs w:val="24"/>
        </w:rPr>
        <w:t>,</w:t>
      </w:r>
      <w:r w:rsidRPr="00D3269D">
        <w:rPr>
          <w:sz w:val="18"/>
          <w:szCs w:val="24"/>
        </w:rPr>
        <w:t xml:space="preserve"> ne</w:t>
      </w:r>
      <w:r w:rsidR="00A562BB">
        <w:rPr>
          <w:sz w:val="18"/>
          <w:szCs w:val="24"/>
        </w:rPr>
        <w:t>i</w:t>
      </w:r>
      <w:r w:rsidRPr="00D3269D">
        <w:rPr>
          <w:sz w:val="18"/>
          <w:szCs w:val="24"/>
        </w:rPr>
        <w:t>ther of DNA methylation</w:t>
      </w:r>
      <w:r>
        <w:rPr>
          <w:sz w:val="18"/>
          <w:szCs w:val="24"/>
        </w:rPr>
        <w:t xml:space="preserve">. </w:t>
      </w:r>
      <w:r w:rsidRPr="00D3269D">
        <w:rPr>
          <w:sz w:val="18"/>
        </w:rPr>
        <w:t>Conclusion &amp; Significance:</w:t>
      </w:r>
      <w:r w:rsidR="00A562BB">
        <w:rPr>
          <w:rFonts w:cs="Times New Roman"/>
          <w:sz w:val="24"/>
        </w:rPr>
        <w:t xml:space="preserve"> </w:t>
      </w:r>
      <w:r w:rsidR="00B45B0C">
        <w:rPr>
          <w:sz w:val="18"/>
          <w:szCs w:val="24"/>
        </w:rPr>
        <w:t xml:space="preserve">Obtained data support the hypothesis that </w:t>
      </w:r>
      <w:r w:rsidRPr="00D3269D">
        <w:rPr>
          <w:i/>
          <w:sz w:val="18"/>
          <w:szCs w:val="24"/>
        </w:rPr>
        <w:t>DNMT3A</w:t>
      </w:r>
      <w:r w:rsidRPr="00D3269D">
        <w:rPr>
          <w:sz w:val="18"/>
          <w:szCs w:val="24"/>
        </w:rPr>
        <w:t xml:space="preserve"> mutations</w:t>
      </w:r>
      <w:r w:rsidR="002B1CD6">
        <w:rPr>
          <w:sz w:val="18"/>
          <w:szCs w:val="24"/>
        </w:rPr>
        <w:t xml:space="preserve"> </w:t>
      </w:r>
      <w:r w:rsidR="00B45B0C">
        <w:rPr>
          <w:sz w:val="18"/>
          <w:szCs w:val="24"/>
        </w:rPr>
        <w:t xml:space="preserve">may be </w:t>
      </w:r>
      <w:r w:rsidR="002B1CD6">
        <w:rPr>
          <w:sz w:val="18"/>
          <w:szCs w:val="24"/>
        </w:rPr>
        <w:t>involved</w:t>
      </w:r>
      <w:r w:rsidRPr="00D3269D">
        <w:rPr>
          <w:sz w:val="18"/>
          <w:szCs w:val="24"/>
        </w:rPr>
        <w:t xml:space="preserve"> in pre-leukemic</w:t>
      </w:r>
      <w:r w:rsidR="00B45B0C">
        <w:rPr>
          <w:sz w:val="18"/>
          <w:szCs w:val="24"/>
        </w:rPr>
        <w:t xml:space="preserve"> </w:t>
      </w:r>
      <w:proofErr w:type="spellStart"/>
      <w:r w:rsidR="00B45B0C">
        <w:rPr>
          <w:sz w:val="18"/>
          <w:szCs w:val="24"/>
        </w:rPr>
        <w:t>clonal</w:t>
      </w:r>
      <w:proofErr w:type="spellEnd"/>
      <w:r w:rsidR="00B45B0C">
        <w:rPr>
          <w:sz w:val="18"/>
          <w:szCs w:val="24"/>
        </w:rPr>
        <w:t xml:space="preserve"> hematopoietic expansion.</w:t>
      </w:r>
      <w:r w:rsidRPr="00D3269D">
        <w:rPr>
          <w:sz w:val="18"/>
          <w:szCs w:val="24"/>
        </w:rPr>
        <w:t xml:space="preserve"> </w:t>
      </w:r>
    </w:p>
    <w:p w:rsidR="00AE3E37" w:rsidRDefault="00A9710C">
      <w:pPr>
        <w:pStyle w:val="Titolo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2959C5">
      <w:pPr>
        <w:pStyle w:val="Corpodeltesto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it-IT" w:eastAsia="it-IT"/>
        </w:rPr>
        <w:drawing>
          <wp:inline distT="0" distB="0" distL="0" distR="0">
            <wp:extent cx="3302734" cy="2305050"/>
            <wp:effectExtent l="19050" t="0" r="0" b="0"/>
            <wp:docPr id="2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7168" cy="2308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7425F4" w:rsidRPr="007425F4" w:rsidRDefault="007425F4" w:rsidP="007425F4">
      <w:pPr>
        <w:pStyle w:val="Paragrafoelenco"/>
        <w:numPr>
          <w:ilvl w:val="0"/>
          <w:numId w:val="3"/>
        </w:numPr>
        <w:rPr>
          <w:rFonts w:cs="AdvTT5235d5a9"/>
          <w:sz w:val="18"/>
        </w:rPr>
      </w:pPr>
      <w:r w:rsidRPr="007425F4">
        <w:rPr>
          <w:rFonts w:cs="AdvTT5235d5a9"/>
          <w:sz w:val="18"/>
        </w:rPr>
        <w:t xml:space="preserve">X.J. Yan, J. </w:t>
      </w:r>
      <w:proofErr w:type="spellStart"/>
      <w:r w:rsidRPr="007425F4">
        <w:rPr>
          <w:rFonts w:cs="AdvTT5235d5a9"/>
          <w:sz w:val="18"/>
        </w:rPr>
        <w:t>Xu</w:t>
      </w:r>
      <w:proofErr w:type="spellEnd"/>
      <w:r w:rsidRPr="007425F4">
        <w:rPr>
          <w:rFonts w:cs="AdvTT5235d5a9"/>
          <w:sz w:val="18"/>
        </w:rPr>
        <w:t xml:space="preserve">, Z.H. </w:t>
      </w:r>
      <w:proofErr w:type="spellStart"/>
      <w:r w:rsidRPr="007425F4">
        <w:rPr>
          <w:rFonts w:cs="AdvTT5235d5a9"/>
          <w:sz w:val="18"/>
        </w:rPr>
        <w:t>Gu</w:t>
      </w:r>
      <w:proofErr w:type="spellEnd"/>
      <w:r w:rsidRPr="007425F4">
        <w:rPr>
          <w:rFonts w:cs="AdvTT5235d5a9"/>
          <w:sz w:val="18"/>
        </w:rPr>
        <w:t xml:space="preserve">, C.M. Pan, G. Lu, Y. </w:t>
      </w:r>
      <w:proofErr w:type="spellStart"/>
      <w:r w:rsidRPr="007425F4">
        <w:rPr>
          <w:rFonts w:cs="AdvTT5235d5a9"/>
          <w:sz w:val="18"/>
        </w:rPr>
        <w:t>Shen</w:t>
      </w:r>
      <w:proofErr w:type="spellEnd"/>
      <w:r w:rsidRPr="007425F4">
        <w:rPr>
          <w:rFonts w:cs="AdvTT5235d5a9"/>
          <w:sz w:val="18"/>
        </w:rPr>
        <w:t>, et al. Exome sequencing identi</w:t>
      </w:r>
      <w:r w:rsidRPr="007425F4">
        <w:rPr>
          <w:rFonts w:cs="AdvTT5235d5a9+fb"/>
          <w:sz w:val="18"/>
        </w:rPr>
        <w:t>fi</w:t>
      </w:r>
      <w:r w:rsidRPr="007425F4">
        <w:rPr>
          <w:rFonts w:cs="AdvTT5235d5a9"/>
          <w:sz w:val="18"/>
        </w:rPr>
        <w:t xml:space="preserve">es somatic mutations of DNA </w:t>
      </w:r>
      <w:proofErr w:type="spellStart"/>
      <w:r w:rsidRPr="007425F4">
        <w:rPr>
          <w:rFonts w:cs="AdvTT5235d5a9"/>
          <w:sz w:val="18"/>
        </w:rPr>
        <w:t>methyltransferase</w:t>
      </w:r>
      <w:proofErr w:type="spellEnd"/>
      <w:r w:rsidRPr="007425F4">
        <w:rPr>
          <w:rFonts w:cs="AdvTT5235d5a9"/>
          <w:sz w:val="18"/>
        </w:rPr>
        <w:t xml:space="preserve"> gene DNMT3A in acute </w:t>
      </w:r>
      <w:proofErr w:type="spellStart"/>
      <w:r w:rsidRPr="007425F4">
        <w:rPr>
          <w:rFonts w:cs="AdvTT5235d5a9"/>
          <w:sz w:val="18"/>
        </w:rPr>
        <w:t>monocytic</w:t>
      </w:r>
      <w:proofErr w:type="spellEnd"/>
      <w:r w:rsidRPr="007425F4">
        <w:rPr>
          <w:rFonts w:cs="AdvTT5235d5a9"/>
          <w:sz w:val="18"/>
        </w:rPr>
        <w:t xml:space="preserve"> leukemia. Nat. Genet. 43 (4) (2011) 309</w:t>
      </w:r>
      <w:r w:rsidRPr="007425F4">
        <w:rPr>
          <w:rFonts w:cs="AdvTT5235d5a9+20"/>
          <w:sz w:val="18"/>
        </w:rPr>
        <w:t>–</w:t>
      </w:r>
      <w:r w:rsidRPr="007425F4">
        <w:rPr>
          <w:rFonts w:cs="AdvTT5235d5a9"/>
          <w:sz w:val="18"/>
        </w:rPr>
        <w:t>315.</w:t>
      </w:r>
    </w:p>
    <w:p w:rsidR="005973B9" w:rsidRPr="007425F4" w:rsidRDefault="007425F4" w:rsidP="007425F4">
      <w:pPr>
        <w:pStyle w:val="Paragrafoelenco"/>
        <w:numPr>
          <w:ilvl w:val="0"/>
          <w:numId w:val="3"/>
        </w:numPr>
        <w:tabs>
          <w:tab w:val="left" w:pos="384"/>
        </w:tabs>
        <w:spacing w:before="92" w:line="218" w:lineRule="exact"/>
        <w:ind w:right="138" w:hanging="283"/>
        <w:rPr>
          <w:rFonts w:cs="AdvTT5235d5a9"/>
          <w:sz w:val="14"/>
        </w:rPr>
      </w:pPr>
      <w:proofErr w:type="spellStart"/>
      <w:r w:rsidRPr="007425F4">
        <w:rPr>
          <w:sz w:val="18"/>
        </w:rPr>
        <w:t>McDevitt</w:t>
      </w:r>
      <w:proofErr w:type="spellEnd"/>
      <w:r w:rsidRPr="007425F4">
        <w:rPr>
          <w:sz w:val="18"/>
        </w:rPr>
        <w:t xml:space="preserve"> MA. Clinical applications of epigenetic markers and epigenetic profiling in myeloid malignancies. </w:t>
      </w:r>
      <w:proofErr w:type="spellStart"/>
      <w:r w:rsidRPr="007425F4">
        <w:rPr>
          <w:sz w:val="18"/>
        </w:rPr>
        <w:t>Semin</w:t>
      </w:r>
      <w:proofErr w:type="spellEnd"/>
      <w:r w:rsidRPr="007425F4">
        <w:rPr>
          <w:sz w:val="18"/>
        </w:rPr>
        <w:t xml:space="preserve"> </w:t>
      </w:r>
      <w:proofErr w:type="spellStart"/>
      <w:r w:rsidRPr="007425F4">
        <w:rPr>
          <w:sz w:val="18"/>
        </w:rPr>
        <w:t>Oncol</w:t>
      </w:r>
      <w:proofErr w:type="spellEnd"/>
      <w:r w:rsidRPr="007425F4">
        <w:rPr>
          <w:sz w:val="18"/>
        </w:rPr>
        <w:t>. 2012;39(1):109</w:t>
      </w:r>
      <w:r w:rsidRPr="007425F4">
        <w:rPr>
          <w:rFonts w:hint="eastAsia"/>
          <w:sz w:val="18"/>
        </w:rPr>
        <w:t>–</w:t>
      </w:r>
      <w:r w:rsidRPr="007425F4">
        <w:rPr>
          <w:sz w:val="18"/>
        </w:rPr>
        <w:t>22.</w:t>
      </w:r>
    </w:p>
    <w:p w:rsidR="007425F4" w:rsidRPr="007425F4" w:rsidRDefault="007425F4" w:rsidP="007425F4">
      <w:pPr>
        <w:pStyle w:val="Paragrafoelenco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proofErr w:type="spellStart"/>
      <w:r w:rsidRPr="007425F4">
        <w:rPr>
          <w:rFonts w:cs="AdvTT5235d5a9"/>
          <w:sz w:val="18"/>
        </w:rPr>
        <w:t>Marcucci</w:t>
      </w:r>
      <w:proofErr w:type="spellEnd"/>
      <w:r w:rsidRPr="007425F4">
        <w:rPr>
          <w:rFonts w:cs="AdvTT5235d5a9"/>
          <w:sz w:val="18"/>
        </w:rPr>
        <w:t xml:space="preserve"> G, </w:t>
      </w:r>
      <w:proofErr w:type="spellStart"/>
      <w:r w:rsidRPr="007425F4">
        <w:rPr>
          <w:rFonts w:cs="AdvTT5235d5a9"/>
          <w:sz w:val="18"/>
        </w:rPr>
        <w:t>Metzeler</w:t>
      </w:r>
      <w:proofErr w:type="spellEnd"/>
      <w:r w:rsidRPr="007425F4">
        <w:rPr>
          <w:rFonts w:cs="AdvTT5235d5a9"/>
          <w:sz w:val="18"/>
        </w:rPr>
        <w:t xml:space="preserve"> KH, </w:t>
      </w:r>
      <w:proofErr w:type="spellStart"/>
      <w:r w:rsidRPr="007425F4">
        <w:rPr>
          <w:rFonts w:cs="AdvTT5235d5a9"/>
          <w:sz w:val="18"/>
        </w:rPr>
        <w:t>Schwind</w:t>
      </w:r>
      <w:proofErr w:type="spellEnd"/>
      <w:r w:rsidRPr="007425F4">
        <w:rPr>
          <w:rFonts w:cs="AdvTT5235d5a9"/>
          <w:sz w:val="18"/>
        </w:rPr>
        <w:t xml:space="preserve"> S, Becker H, </w:t>
      </w:r>
      <w:proofErr w:type="spellStart"/>
      <w:r w:rsidRPr="007425F4">
        <w:rPr>
          <w:rFonts w:cs="AdvTT5235d5a9"/>
          <w:sz w:val="18"/>
        </w:rPr>
        <w:t>Maharry</w:t>
      </w:r>
      <w:proofErr w:type="spellEnd"/>
      <w:r w:rsidRPr="007425F4">
        <w:rPr>
          <w:rFonts w:cs="AdvTT5235d5a9"/>
          <w:sz w:val="18"/>
        </w:rPr>
        <w:t xml:space="preserve"> K, </w:t>
      </w:r>
      <w:proofErr w:type="spellStart"/>
      <w:r w:rsidRPr="007425F4">
        <w:rPr>
          <w:rFonts w:cs="AdvTT5235d5a9"/>
          <w:sz w:val="18"/>
        </w:rPr>
        <w:t>Mrozek</w:t>
      </w:r>
      <w:proofErr w:type="spellEnd"/>
      <w:r w:rsidRPr="007425F4">
        <w:rPr>
          <w:rFonts w:cs="AdvTT5235d5a9"/>
          <w:sz w:val="18"/>
        </w:rPr>
        <w:t xml:space="preserve"> K, et al. Age-related prognostic impact of different types of DNMT3A mutations in adults with primary cytogenetically normal acute myeloid leukemia. J </w:t>
      </w:r>
      <w:proofErr w:type="spellStart"/>
      <w:r w:rsidRPr="007425F4">
        <w:rPr>
          <w:rFonts w:cs="AdvTT5235d5a9"/>
          <w:sz w:val="18"/>
        </w:rPr>
        <w:t>Clin</w:t>
      </w:r>
      <w:proofErr w:type="spellEnd"/>
      <w:r w:rsidRPr="007425F4">
        <w:rPr>
          <w:rFonts w:cs="AdvTT5235d5a9"/>
          <w:sz w:val="18"/>
        </w:rPr>
        <w:t xml:space="preserve"> </w:t>
      </w:r>
      <w:proofErr w:type="spellStart"/>
      <w:r w:rsidRPr="007425F4">
        <w:rPr>
          <w:rFonts w:cs="AdvTT5235d5a9"/>
          <w:sz w:val="18"/>
        </w:rPr>
        <w:t>Oncol</w:t>
      </w:r>
      <w:proofErr w:type="spellEnd"/>
      <w:r w:rsidRPr="007425F4">
        <w:rPr>
          <w:rFonts w:cs="AdvTT5235d5a9"/>
          <w:sz w:val="18"/>
        </w:rPr>
        <w:t>. 2012;30(7):742–50.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Pr="00D62425" w:rsidRDefault="00D62425">
      <w:pPr>
        <w:pStyle w:val="Corpodeltesto"/>
        <w:rPr>
          <w:rFonts w:ascii="Calibri"/>
          <w:b/>
          <w:sz w:val="20"/>
        </w:rPr>
      </w:pPr>
      <w:r>
        <w:rPr>
          <w:rFonts w:ascii="Calibri"/>
          <w:sz w:val="20"/>
        </w:rPr>
        <w:lastRenderedPageBreak/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AE3E37" w:rsidRDefault="008674EB">
      <w:pPr>
        <w:pStyle w:val="Corpodeltesto"/>
        <w:spacing w:line="40" w:lineRule="exact"/>
        <w:ind w:left="2202"/>
        <w:rPr>
          <w:rFonts w:ascii="Calibri"/>
          <w:sz w:val="4"/>
        </w:rPr>
      </w:pPr>
      <w:r w:rsidRPr="008674EB">
        <w:rPr>
          <w:rFonts w:ascii="Calibri"/>
          <w:noProof/>
          <w:sz w:val="4"/>
          <w:lang w:val="en-IN" w:eastAsia="en-IN"/>
        </w:rPr>
      </w:r>
      <w:r w:rsidRPr="008674EB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</w:t>
      </w:r>
      <w:r w:rsidR="00664EA8" w:rsidRPr="00664EA8">
        <w:rPr>
          <w:noProof/>
        </w:rPr>
        <w:drawing>
          <wp:inline distT="0" distB="0" distL="0" distR="0">
            <wp:extent cx="806450" cy="920750"/>
            <wp:effectExtent l="19050" t="0" r="0" b="0"/>
            <wp:docPr id="1" name="Immagine 1" descr="C:\Users\Administrator\Pictures\foto 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C:\Users\Administrator\Pictures\foto 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432" cy="924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D</w:t>
      </w:r>
      <w:r w:rsidR="0078738A">
        <w:rPr>
          <w:rFonts w:ascii="Arial"/>
          <w:sz w:val="14"/>
        </w:rPr>
        <w:t>r</w:t>
      </w:r>
      <w:r w:rsidR="00131647">
        <w:rPr>
          <w:rFonts w:ascii="Arial"/>
          <w:sz w:val="14"/>
        </w:rPr>
        <w:t xml:space="preserve">. Samantha Bruno is a PhD student </w:t>
      </w:r>
      <w:r w:rsidR="003E092C">
        <w:rPr>
          <w:rFonts w:ascii="Arial"/>
          <w:sz w:val="14"/>
        </w:rPr>
        <w:t>in hematology on university of Bologna. She</w:t>
      </w:r>
      <w:r w:rsidR="0078738A">
        <w:rPr>
          <w:rFonts w:ascii="Arial"/>
          <w:sz w:val="14"/>
        </w:rPr>
        <w:t xml:space="preserve"> </w:t>
      </w:r>
      <w:r w:rsidR="00131647">
        <w:rPr>
          <w:rFonts w:ascii="Arial"/>
          <w:sz w:val="14"/>
        </w:rPr>
        <w:t>has her expertise in molecular and cellular biology. Her research is mainly focused on molecular characterization of acute myeloid leukemia primary sample and in vitro study</w:t>
      </w:r>
      <w:r w:rsidR="003E092C">
        <w:rPr>
          <w:rFonts w:ascii="Arial"/>
          <w:sz w:val="14"/>
        </w:rPr>
        <w:t xml:space="preserve"> in order </w:t>
      </w:r>
      <w:r w:rsidR="00131647">
        <w:rPr>
          <w:rFonts w:ascii="Arial"/>
          <w:sz w:val="14"/>
        </w:rPr>
        <w:t>to</w:t>
      </w:r>
      <w:r>
        <w:rPr>
          <w:rFonts w:ascii="Arial"/>
          <w:sz w:val="14"/>
        </w:rPr>
        <w:t xml:space="preserve"> </w:t>
      </w:r>
      <w:r w:rsidR="00131647">
        <w:rPr>
          <w:rFonts w:ascii="Arial"/>
          <w:sz w:val="14"/>
        </w:rPr>
        <w:t>identify new drugs for personalized therapy of acute myeloid leukemia patients.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9261B8">
        <w:rPr>
          <w:rFonts w:ascii="Arial"/>
          <w:sz w:val="14"/>
        </w:rPr>
        <w:t>samantha.bruno2@unibo.it</w:t>
      </w:r>
    </w:p>
    <w:p w:rsidR="00AE3E37" w:rsidRDefault="008674EB">
      <w:pPr>
        <w:pStyle w:val="Corpodeltesto"/>
        <w:spacing w:before="2"/>
        <w:rPr>
          <w:rFonts w:ascii="Arial"/>
          <w:sz w:val="19"/>
        </w:rPr>
      </w:pPr>
      <w:bookmarkStart w:id="0" w:name="_GoBack"/>
      <w:bookmarkEnd w:id="0"/>
      <w:r w:rsidRPr="008674EB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Corpodeltesto"/>
        <w:rPr>
          <w:rFonts w:ascii="Arial"/>
          <w:sz w:val="20"/>
        </w:rPr>
      </w:pPr>
    </w:p>
    <w:p w:rsidR="00AE3E37" w:rsidRDefault="00AE3E37">
      <w:pPr>
        <w:pStyle w:val="Corpodeltesto"/>
        <w:rPr>
          <w:rFonts w:ascii="Arial"/>
          <w:sz w:val="20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 w:rsidP="009261B8">
      <w:pPr>
        <w:pStyle w:val="Corpodeltesto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3DCA" w:rsidRDefault="00D23DCA">
      <w:r>
        <w:separator/>
      </w:r>
    </w:p>
  </w:endnote>
  <w:endnote w:type="continuationSeparator" w:id="0">
    <w:p w:rsidR="00D23DCA" w:rsidRDefault="00D23D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dvTT5235d5a9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dvTT5235d5a9+fb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dvTT5235d5a9+2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8674EB">
    <w:pPr>
      <w:pStyle w:val="Corpodeltesto"/>
      <w:spacing w:line="14" w:lineRule="auto"/>
      <w:rPr>
        <w:sz w:val="20"/>
      </w:rPr>
    </w:pPr>
    <w:r w:rsidRPr="008674EB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8674EB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8674EB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3DCA" w:rsidRDefault="00D23DCA">
      <w:r>
        <w:separator/>
      </w:r>
    </w:p>
  </w:footnote>
  <w:footnote w:type="continuationSeparator" w:id="0">
    <w:p w:rsidR="00D23DCA" w:rsidRDefault="00D23D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8674EB">
    <w:pPr>
      <w:pStyle w:val="Corpodeltesto"/>
      <w:spacing w:line="14" w:lineRule="auto"/>
      <w:rPr>
        <w:sz w:val="20"/>
      </w:rPr>
    </w:pPr>
    <w:r w:rsidRPr="008674EB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8674EB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Corpodeltesto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3FB541DB"/>
    <w:multiLevelType w:val="multilevel"/>
    <w:tmpl w:val="CADAB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536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071D6"/>
    <w:rsid w:val="000E2911"/>
    <w:rsid w:val="001263DF"/>
    <w:rsid w:val="00131647"/>
    <w:rsid w:val="001E763C"/>
    <w:rsid w:val="00205860"/>
    <w:rsid w:val="00292ED9"/>
    <w:rsid w:val="002959C5"/>
    <w:rsid w:val="002B1CD6"/>
    <w:rsid w:val="00314AFB"/>
    <w:rsid w:val="003B76D9"/>
    <w:rsid w:val="003E092C"/>
    <w:rsid w:val="00404E5B"/>
    <w:rsid w:val="00414F7B"/>
    <w:rsid w:val="004355DC"/>
    <w:rsid w:val="004749B4"/>
    <w:rsid w:val="00494130"/>
    <w:rsid w:val="004F3523"/>
    <w:rsid w:val="00531E83"/>
    <w:rsid w:val="005807CA"/>
    <w:rsid w:val="005973B9"/>
    <w:rsid w:val="005B3A56"/>
    <w:rsid w:val="006060CE"/>
    <w:rsid w:val="00625004"/>
    <w:rsid w:val="0063497F"/>
    <w:rsid w:val="00664EA8"/>
    <w:rsid w:val="007425F4"/>
    <w:rsid w:val="007560E4"/>
    <w:rsid w:val="0078738A"/>
    <w:rsid w:val="008169B1"/>
    <w:rsid w:val="00864C82"/>
    <w:rsid w:val="008674EB"/>
    <w:rsid w:val="00873DF0"/>
    <w:rsid w:val="008756E6"/>
    <w:rsid w:val="008C1C27"/>
    <w:rsid w:val="008F3798"/>
    <w:rsid w:val="009261B8"/>
    <w:rsid w:val="009B2D44"/>
    <w:rsid w:val="00A07E82"/>
    <w:rsid w:val="00A4253E"/>
    <w:rsid w:val="00A562BB"/>
    <w:rsid w:val="00A63282"/>
    <w:rsid w:val="00A9710C"/>
    <w:rsid w:val="00AE3E37"/>
    <w:rsid w:val="00B21A57"/>
    <w:rsid w:val="00B30A1F"/>
    <w:rsid w:val="00B36E83"/>
    <w:rsid w:val="00B40261"/>
    <w:rsid w:val="00B45B0C"/>
    <w:rsid w:val="00C33602"/>
    <w:rsid w:val="00CD6F55"/>
    <w:rsid w:val="00CF4967"/>
    <w:rsid w:val="00D23DCA"/>
    <w:rsid w:val="00D62425"/>
    <w:rsid w:val="00DE3104"/>
    <w:rsid w:val="00F04684"/>
    <w:rsid w:val="00F51218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olo1">
    <w:name w:val="heading 1"/>
    <w:basedOn w:val="Normale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olo3">
    <w:name w:val="heading 3"/>
    <w:basedOn w:val="Normale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CD6F55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D6F55"/>
  </w:style>
  <w:style w:type="paragraph" w:styleId="Intestazione">
    <w:name w:val="header"/>
    <w:basedOn w:val="Normale"/>
    <w:link w:val="Intestazione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3A56"/>
    <w:rPr>
      <w:rFonts w:ascii="Tw Cen MT" w:eastAsia="Tw Cen MT" w:hAnsi="Tw Cen MT" w:cs="Tw Cen MT"/>
    </w:rPr>
  </w:style>
  <w:style w:type="paragraph" w:styleId="Pidipagina">
    <w:name w:val="footer"/>
    <w:basedOn w:val="Normale"/>
    <w:link w:val="Pidipagina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3A56"/>
    <w:rPr>
      <w:rFonts w:ascii="Tw Cen MT" w:eastAsia="Tw Cen MT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29F02B-8E1A-4655-9DBE-0FE9B8B9C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1</Pages>
  <Words>534</Words>
  <Characters>3044</Characters>
  <Application>Microsoft Office Word</Application>
  <DocSecurity>0</DocSecurity>
  <Lines>25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Administrator</cp:lastModifiedBy>
  <cp:revision>14</cp:revision>
  <dcterms:created xsi:type="dcterms:W3CDTF">2016-08-31T13:10:00Z</dcterms:created>
  <dcterms:modified xsi:type="dcterms:W3CDTF">2019-01-23T23:34:00Z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