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C0F63F" w14:textId="77777777" w:rsidR="00AD5C31" w:rsidRDefault="00444F31" w:rsidP="00A35AF4">
      <w:pPr>
        <w:spacing w:after="120"/>
        <w:jc w:val="center"/>
        <w:rPr>
          <w:rFonts w:cs="Arial"/>
          <w:color w:val="000000" w:themeColor="text1"/>
        </w:rPr>
      </w:pPr>
      <w:r w:rsidRPr="003221DF">
        <w:rPr>
          <w:rFonts w:cs="Arial"/>
          <w:color w:val="000000" w:themeColor="text1"/>
        </w:rPr>
        <w:t>10</w:t>
      </w:r>
      <w:r w:rsidRPr="003221DF">
        <w:rPr>
          <w:rFonts w:cs="Arial"/>
          <w:color w:val="000000" w:themeColor="text1"/>
          <w:sz w:val="32"/>
          <w:szCs w:val="32"/>
          <w:vertAlign w:val="superscript"/>
        </w:rPr>
        <w:t>th</w:t>
      </w:r>
      <w:r w:rsidRPr="003221DF">
        <w:rPr>
          <w:rFonts w:cs="Arial"/>
          <w:color w:val="000000" w:themeColor="text1"/>
        </w:rPr>
        <w:t xml:space="preserve"> World Hematology and Oncology Congress</w:t>
      </w:r>
    </w:p>
    <w:p w14:paraId="6AB398B0" w14:textId="7D23EC3B" w:rsidR="00A35AF4" w:rsidRPr="00A35AF4" w:rsidRDefault="00A35AF4" w:rsidP="00A35AF4">
      <w:pPr>
        <w:spacing w:after="120"/>
        <w:jc w:val="center"/>
        <w:rPr>
          <w:rFonts w:cs="Arial"/>
          <w:color w:val="000000" w:themeColor="text1"/>
        </w:rPr>
      </w:pPr>
      <w:r w:rsidRPr="00A35AF4">
        <w:rPr>
          <w:rStyle w:val="Strong"/>
          <w:rFonts w:cs="Arial"/>
          <w:color w:val="000000" w:themeColor="text1"/>
        </w:rPr>
        <w:t xml:space="preserve">November </w:t>
      </w:r>
      <w:r w:rsidR="00955218">
        <w:rPr>
          <w:rStyle w:val="Strong"/>
          <w:rFonts w:cs="Arial"/>
          <w:color w:val="000000" w:themeColor="text1"/>
        </w:rPr>
        <w:t>22</w:t>
      </w:r>
      <w:r w:rsidRPr="00A35AF4">
        <w:rPr>
          <w:rStyle w:val="Strong"/>
          <w:rFonts w:cs="Arial"/>
          <w:color w:val="000000" w:themeColor="text1"/>
        </w:rPr>
        <w:t>-</w:t>
      </w:r>
      <w:r w:rsidR="00955218">
        <w:rPr>
          <w:rStyle w:val="Strong"/>
          <w:rFonts w:cs="Arial"/>
          <w:color w:val="000000" w:themeColor="text1"/>
        </w:rPr>
        <w:t>23</w:t>
      </w:r>
      <w:r w:rsidRPr="00A35AF4">
        <w:rPr>
          <w:rStyle w:val="Strong"/>
          <w:rFonts w:cs="Arial"/>
          <w:color w:val="000000" w:themeColor="text1"/>
        </w:rPr>
        <w:t>, 201</w:t>
      </w:r>
      <w:r w:rsidR="00955218">
        <w:rPr>
          <w:rStyle w:val="Strong"/>
          <w:rFonts w:cs="Arial"/>
          <w:color w:val="000000" w:themeColor="text1"/>
        </w:rPr>
        <w:t>8</w:t>
      </w:r>
      <w:r w:rsidRPr="00A35AF4">
        <w:rPr>
          <w:rStyle w:val="Strong"/>
          <w:rFonts w:cs="Arial"/>
          <w:color w:val="000000" w:themeColor="text1"/>
        </w:rPr>
        <w:t xml:space="preserve"> </w:t>
      </w:r>
      <w:r w:rsidRPr="00A35AF4">
        <w:rPr>
          <w:rFonts w:cs="Arial"/>
          <w:color w:val="000000" w:themeColor="text1"/>
        </w:rPr>
        <w:br/>
      </w:r>
      <w:r w:rsidR="00955218">
        <w:rPr>
          <w:rStyle w:val="text-primary1"/>
          <w:rFonts w:cs="Arial"/>
          <w:b/>
          <w:color w:val="000000" w:themeColor="text1"/>
        </w:rPr>
        <w:t>Warsaw, Poland</w:t>
      </w:r>
    </w:p>
    <w:p w14:paraId="06F594EC" w14:textId="3103EF8E" w:rsidR="003221DF" w:rsidRDefault="003221DF" w:rsidP="003221DF">
      <w:pPr>
        <w:rPr>
          <w:rFonts w:eastAsia="MS PGothic"/>
          <w:b/>
          <w:color w:val="000000"/>
          <w:sz w:val="28"/>
          <w:szCs w:val="28"/>
        </w:rPr>
      </w:pPr>
    </w:p>
    <w:p w14:paraId="165ED450" w14:textId="7F09D82C" w:rsidR="003221DF" w:rsidRDefault="00563307" w:rsidP="003221DF">
      <w:pPr>
        <w:rPr>
          <w:rFonts w:eastAsia="MS PGothic"/>
          <w:b/>
          <w:color w:val="000000"/>
          <w:sz w:val="28"/>
          <w:szCs w:val="28"/>
        </w:rPr>
      </w:pPr>
      <w:bookmarkStart w:id="0" w:name="_GoBack"/>
      <w:bookmarkEnd w:id="0"/>
      <w:r>
        <w:rPr>
          <w:b/>
          <w:noProof/>
          <w:sz w:val="28"/>
          <w:szCs w:val="28"/>
        </w:rPr>
        <w:drawing>
          <wp:anchor distT="0" distB="0" distL="114300" distR="114300" simplePos="0" relativeHeight="251662336" behindDoc="0" locked="0" layoutInCell="1" allowOverlap="1" wp14:anchorId="4C7B3571" wp14:editId="196B98AD">
            <wp:simplePos x="0" y="0"/>
            <wp:positionH relativeFrom="column">
              <wp:posOffset>4336415</wp:posOffset>
            </wp:positionH>
            <wp:positionV relativeFrom="paragraph">
              <wp:posOffset>51435</wp:posOffset>
            </wp:positionV>
            <wp:extent cx="946150" cy="1235710"/>
            <wp:effectExtent l="19050" t="19050" r="25400" b="21590"/>
            <wp:wrapSquare wrapText="bothSides"/>
            <wp:docPr id="2" name="Picture 1" descr="imgap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app[1]"/>
                    <pic:cNvPicPr>
                      <a:picLocks noChangeAspect="1" noChangeArrowheads="1"/>
                    </pic:cNvPicPr>
                  </pic:nvPicPr>
                  <pic:blipFill>
                    <a:blip r:embed="rId4" cstate="print"/>
                    <a:srcRect t="6233"/>
                    <a:stretch>
                      <a:fillRect/>
                    </a:stretch>
                  </pic:blipFill>
                  <pic:spPr bwMode="auto">
                    <a:xfrm>
                      <a:off x="0" y="0"/>
                      <a:ext cx="946150" cy="1235710"/>
                    </a:xfrm>
                    <a:prstGeom prst="rect">
                      <a:avLst/>
                    </a:prstGeom>
                    <a:blipFill dpi="0" rotWithShape="1">
                      <a:blip r:embed="rId5"/>
                      <a:srcRect t="6233"/>
                      <a:tile tx="0" ty="0" sx="100000" sy="100000" flip="none" algn="tl"/>
                    </a:blipFill>
                    <a:ln w="9525" cmpd="sng">
                      <a:solidFill>
                        <a:srgbClr val="FFFFFF"/>
                      </a:solidFill>
                      <a:miter lim="800000"/>
                      <a:headEnd/>
                      <a:tailEnd/>
                    </a:ln>
                    <a:effectLst/>
                  </pic:spPr>
                </pic:pic>
              </a:graphicData>
            </a:graphic>
          </wp:anchor>
        </w:drawing>
      </w:r>
    </w:p>
    <w:p w14:paraId="5ECDDEFB" w14:textId="60C0A2FD" w:rsidR="00955218" w:rsidRDefault="003221DF" w:rsidP="0085275D">
      <w:pPr>
        <w:spacing w:after="120" w:line="360" w:lineRule="auto"/>
        <w:jc w:val="both"/>
        <w:rPr>
          <w:rFonts w:cs="Arial"/>
          <w:b/>
          <w:color w:val="000000" w:themeColor="text1"/>
        </w:rPr>
      </w:pPr>
      <w:r w:rsidRPr="0085275D">
        <w:rPr>
          <w:rFonts w:eastAsia="MS PGothic"/>
          <w:b/>
          <w:color w:val="000000"/>
        </w:rPr>
        <w:t xml:space="preserve">Title: </w:t>
      </w:r>
      <w:r w:rsidR="00A35AF4" w:rsidRPr="0085275D">
        <w:rPr>
          <w:rFonts w:eastAsia="MS PGothic"/>
          <w:b/>
          <w:color w:val="000000"/>
        </w:rPr>
        <w:t xml:space="preserve">Chronic Colitis </w:t>
      </w:r>
      <w:r w:rsidR="00955218">
        <w:rPr>
          <w:rFonts w:eastAsia="MS PGothic"/>
          <w:b/>
          <w:color w:val="000000"/>
        </w:rPr>
        <w:t>and Colitis-Associated Colorectal Carcinogenesis</w:t>
      </w:r>
      <w:r w:rsidR="00A35AF4" w:rsidRPr="0085275D">
        <w:rPr>
          <w:rFonts w:cs="Arial"/>
          <w:b/>
          <w:color w:val="000000" w:themeColor="text1"/>
        </w:rPr>
        <w:t xml:space="preserve"> </w:t>
      </w:r>
    </w:p>
    <w:p w14:paraId="7A3BEFDF" w14:textId="77777777" w:rsidR="00955218" w:rsidRPr="0085275D" w:rsidRDefault="00955218" w:rsidP="00955218">
      <w:pPr>
        <w:spacing w:after="120" w:line="240" w:lineRule="auto"/>
        <w:jc w:val="both"/>
        <w:rPr>
          <w:rFonts w:cs="Arial"/>
          <w:i/>
          <w:color w:val="181512"/>
        </w:rPr>
      </w:pPr>
      <w:r w:rsidRPr="0085275D">
        <w:rPr>
          <w:rFonts w:cs="Arial"/>
          <w:i/>
          <w:color w:val="181512"/>
        </w:rPr>
        <w:t>Wancai Yang</w:t>
      </w:r>
      <w:r w:rsidRPr="00B417AC">
        <w:rPr>
          <w:rFonts w:cs="Arial"/>
          <w:i/>
          <w:color w:val="181512"/>
          <w:vertAlign w:val="superscript"/>
        </w:rPr>
        <w:t>1</w:t>
      </w:r>
      <w:r>
        <w:rPr>
          <w:rFonts w:cs="Arial"/>
          <w:i/>
          <w:color w:val="181512"/>
          <w:vertAlign w:val="superscript"/>
        </w:rPr>
        <w:t>,2</w:t>
      </w:r>
      <w:r>
        <w:rPr>
          <w:rFonts w:cs="Arial"/>
          <w:i/>
          <w:color w:val="181512"/>
        </w:rPr>
        <w:t xml:space="preserve">, </w:t>
      </w:r>
      <w:proofErr w:type="spellStart"/>
      <w:r>
        <w:rPr>
          <w:rFonts w:cs="Arial"/>
          <w:i/>
          <w:color w:val="181512"/>
        </w:rPr>
        <w:t>Yonghua</w:t>
      </w:r>
      <w:proofErr w:type="spellEnd"/>
      <w:r>
        <w:rPr>
          <w:rFonts w:cs="Arial"/>
          <w:i/>
          <w:color w:val="181512"/>
        </w:rPr>
        <w:t xml:space="preserve"> Bao</w:t>
      </w:r>
      <w:r>
        <w:rPr>
          <w:rFonts w:cs="Arial"/>
          <w:i/>
          <w:color w:val="181512"/>
          <w:vertAlign w:val="superscript"/>
        </w:rPr>
        <w:t>1</w:t>
      </w:r>
    </w:p>
    <w:p w14:paraId="686E409C" w14:textId="77777777" w:rsidR="00955218" w:rsidRDefault="00955218" w:rsidP="00955218">
      <w:pPr>
        <w:spacing w:after="120" w:line="240" w:lineRule="auto"/>
        <w:jc w:val="both"/>
        <w:rPr>
          <w:rFonts w:cs="Arial"/>
          <w:i/>
          <w:color w:val="181512"/>
        </w:rPr>
      </w:pPr>
      <w:r>
        <w:rPr>
          <w:rFonts w:cs="Arial"/>
          <w:i/>
          <w:color w:val="181512"/>
          <w:vertAlign w:val="superscript"/>
        </w:rPr>
        <w:t xml:space="preserve">1 </w:t>
      </w:r>
      <w:r w:rsidRPr="0085275D">
        <w:rPr>
          <w:rFonts w:cs="Arial"/>
          <w:i/>
          <w:color w:val="181512"/>
        </w:rPr>
        <w:t>Institute of Precision Medicine, Jining Medical University, Jining, China</w:t>
      </w:r>
      <w:r>
        <w:rPr>
          <w:rFonts w:cs="Arial"/>
          <w:i/>
          <w:color w:val="181512"/>
        </w:rPr>
        <w:t>;</w:t>
      </w:r>
    </w:p>
    <w:p w14:paraId="68B19196" w14:textId="77777777" w:rsidR="00955218" w:rsidRDefault="00955218" w:rsidP="00955218">
      <w:pPr>
        <w:spacing w:after="120" w:line="240" w:lineRule="auto"/>
        <w:jc w:val="both"/>
        <w:rPr>
          <w:rFonts w:cs="Arial"/>
          <w:i/>
          <w:color w:val="181512"/>
        </w:rPr>
      </w:pPr>
      <w:r w:rsidRPr="0085275D">
        <w:rPr>
          <w:rFonts w:cs="Arial"/>
          <w:i/>
          <w:color w:val="181512"/>
        </w:rPr>
        <w:t xml:space="preserve"> </w:t>
      </w:r>
      <w:r>
        <w:rPr>
          <w:rFonts w:cs="Arial"/>
          <w:i/>
          <w:color w:val="181512"/>
          <w:vertAlign w:val="superscript"/>
        </w:rPr>
        <w:t xml:space="preserve">2 </w:t>
      </w:r>
      <w:r w:rsidRPr="0085275D">
        <w:rPr>
          <w:rFonts w:cs="Arial"/>
          <w:i/>
          <w:color w:val="181512"/>
        </w:rPr>
        <w:t>Department of Pathology, University of Illinois at Chicago, Chicago, USA</w:t>
      </w:r>
      <w:r>
        <w:rPr>
          <w:rFonts w:cs="Arial"/>
          <w:i/>
          <w:color w:val="181512"/>
        </w:rPr>
        <w:t>.</w:t>
      </w:r>
    </w:p>
    <w:p w14:paraId="73A3DD31" w14:textId="77777777" w:rsidR="00A35AF4" w:rsidRPr="0085275D" w:rsidRDefault="00A35AF4" w:rsidP="0085275D">
      <w:pPr>
        <w:autoSpaceDE w:val="0"/>
        <w:autoSpaceDN w:val="0"/>
        <w:adjustRightInd w:val="0"/>
        <w:spacing w:after="120" w:line="360" w:lineRule="auto"/>
        <w:jc w:val="both"/>
        <w:rPr>
          <w:rFonts w:eastAsiaTheme="majorEastAsia" w:cs="Arial"/>
        </w:rPr>
      </w:pPr>
    </w:p>
    <w:p w14:paraId="70699889" w14:textId="77777777" w:rsidR="00A35AF4" w:rsidRPr="0085275D" w:rsidRDefault="00A35AF4" w:rsidP="0085275D">
      <w:pPr>
        <w:autoSpaceDE w:val="0"/>
        <w:autoSpaceDN w:val="0"/>
        <w:adjustRightInd w:val="0"/>
        <w:spacing w:after="120" w:line="360" w:lineRule="auto"/>
        <w:jc w:val="both"/>
        <w:rPr>
          <w:rFonts w:cs="Arial"/>
          <w:bCs/>
          <w:color w:val="181512"/>
        </w:rPr>
      </w:pPr>
      <w:r w:rsidRPr="0085275D">
        <w:rPr>
          <w:rFonts w:eastAsiaTheme="majorEastAsia" w:cs="Arial"/>
        </w:rPr>
        <w:t>The activation of Wnt/beta-catenin signaling pathway and chronic colitis</w:t>
      </w:r>
      <w:r w:rsidR="0085275D" w:rsidRPr="0085275D">
        <w:rPr>
          <w:rFonts w:eastAsiaTheme="majorEastAsia" w:cs="Arial"/>
        </w:rPr>
        <w:t xml:space="preserve"> malignant transformation are the two</w:t>
      </w:r>
      <w:r w:rsidRPr="0085275D">
        <w:rPr>
          <w:rFonts w:eastAsiaTheme="majorEastAsia" w:cs="Arial"/>
        </w:rPr>
        <w:t xml:space="preserve"> major causes to </w:t>
      </w:r>
      <w:r w:rsidR="0085275D" w:rsidRPr="0085275D">
        <w:rPr>
          <w:rFonts w:eastAsiaTheme="majorEastAsia" w:cs="Arial"/>
        </w:rPr>
        <w:t>colorectal cancer. The former is well studies, but</w:t>
      </w:r>
      <w:r w:rsidRPr="0085275D">
        <w:rPr>
          <w:rFonts w:eastAsiaTheme="majorEastAsia" w:cs="Arial"/>
        </w:rPr>
        <w:t xml:space="preserve"> the mechanisms of colitis develops and how chronic colitis progress to malignance is </w:t>
      </w:r>
      <w:r w:rsidR="0085275D" w:rsidRPr="0085275D">
        <w:rPr>
          <w:rFonts w:eastAsiaTheme="majorEastAsia" w:cs="Arial"/>
        </w:rPr>
        <w:t>largely unknown</w:t>
      </w:r>
      <w:r w:rsidRPr="0085275D">
        <w:rPr>
          <w:rFonts w:eastAsiaTheme="majorEastAsia" w:cs="Arial"/>
        </w:rPr>
        <w:t xml:space="preserve">. Using a unique mouse model, we have demonstrated that the mice with targeted disruption of the intestinal mucin gene Muc2 spontaneously develop chronic inflammation at colon and rectum at early age, whose histopathology was similar to ulcerative colitis in human. In the aged mice, Muc2-/- mice develop colonic and rectal adenocarcinoma accompanying severe inflammation. </w:t>
      </w:r>
      <w:r w:rsidRPr="0085275D">
        <w:rPr>
          <w:rFonts w:cs="Arial"/>
          <w:color w:val="000000"/>
          <w:shd w:val="clear" w:color="auto" w:fill="FFFFFF"/>
        </w:rPr>
        <w:t xml:space="preserve">To determine the mechanisms of the malignant transformation, we conducted miRNA array on the colonic epithelial cells from Muc2-/- and +/+ mice. MicroRNA profiling showed differential expression of miRNAs (i.e. lower or higher expression enrichments) in Muc2-/- mice. Based on relevance to cytokines and cancer, the miRNAs were </w:t>
      </w:r>
      <w:proofErr w:type="gramStart"/>
      <w:r w:rsidRPr="0085275D">
        <w:rPr>
          <w:rFonts w:cs="Arial"/>
          <w:color w:val="000000"/>
          <w:shd w:val="clear" w:color="auto" w:fill="FFFFFF"/>
        </w:rPr>
        <w:t>validate</w:t>
      </w:r>
      <w:proofErr w:type="gramEnd"/>
      <w:r w:rsidRPr="0085275D">
        <w:rPr>
          <w:rFonts w:cs="Arial"/>
          <w:color w:val="000000"/>
          <w:shd w:val="clear" w:color="auto" w:fill="FFFFFF"/>
        </w:rPr>
        <w:t xml:space="preserve"> and were found significantly downregulated or upregulated in human colitis and colorectal cancer tissues, respectively. The targets of the miRNAs were further characterized and their functions were investigated. </w:t>
      </w:r>
      <w:r w:rsidRPr="0085275D">
        <w:rPr>
          <w:rFonts w:cs="Arial"/>
          <w:color w:val="000000"/>
        </w:rPr>
        <w:t xml:space="preserve">More studies from the Muc2-/- mice showed </w:t>
      </w:r>
      <w:r w:rsidRPr="0085275D">
        <w:rPr>
          <w:rFonts w:eastAsiaTheme="majorEastAsia" w:cs="Arial"/>
        </w:rPr>
        <w:t xml:space="preserve">disorder of gut microbiota. </w:t>
      </w:r>
      <w:r w:rsidR="0085275D" w:rsidRPr="0085275D">
        <w:rPr>
          <w:rFonts w:eastAsiaTheme="majorEastAsia" w:cs="Arial"/>
        </w:rPr>
        <w:t>Moreover, a novel tumor suppressor PRSS8 also plays a critical role in colorectal carcinogenesis and progression, for instance, tissue-specific deletion of the PRSS8 gene resulted in intestinal inflammation and tumor formation in mice. Gene set enrichment analysis showed that the colitis and tumorigenesis were linked to the activation Wnt/beta-catenin, PI3K/AKT and EMT (epithelial-mesenchymal transition) signaling pathways. Taken above, t</w:t>
      </w:r>
      <w:r w:rsidRPr="0085275D">
        <w:rPr>
          <w:rFonts w:eastAsiaTheme="majorEastAsia" w:cs="Arial"/>
        </w:rPr>
        <w:t xml:space="preserve">he disorder of gut microbiota could result in genetic mutations, epigenetic alterations, and activation of oncogenic signaling, in colorectal epithelial cells, leading </w:t>
      </w:r>
      <w:r w:rsidRPr="0085275D">
        <w:rPr>
          <w:rFonts w:eastAsiaTheme="majorEastAsia" w:cs="Arial"/>
        </w:rPr>
        <w:lastRenderedPageBreak/>
        <w:t>to colitis development, promoting malignant transformation and mediating colorectal cancer metastasis.</w:t>
      </w:r>
    </w:p>
    <w:p w14:paraId="1E0DA3CD" w14:textId="77777777" w:rsidR="0085275D" w:rsidRDefault="0085275D" w:rsidP="0085275D">
      <w:pPr>
        <w:spacing w:after="120" w:line="360" w:lineRule="auto"/>
        <w:jc w:val="both"/>
        <w:rPr>
          <w:b/>
        </w:rPr>
      </w:pPr>
    </w:p>
    <w:p w14:paraId="0C51B5D5" w14:textId="77777777" w:rsidR="003221DF" w:rsidRPr="0085275D" w:rsidRDefault="003221DF" w:rsidP="0085275D">
      <w:pPr>
        <w:spacing w:after="120" w:line="360" w:lineRule="auto"/>
        <w:jc w:val="both"/>
        <w:rPr>
          <w:b/>
        </w:rPr>
      </w:pPr>
      <w:r w:rsidRPr="0085275D">
        <w:rPr>
          <w:b/>
        </w:rPr>
        <w:t>Biography</w:t>
      </w:r>
    </w:p>
    <w:p w14:paraId="35B9755C" w14:textId="77777777" w:rsidR="00A35AF4" w:rsidRPr="0085275D" w:rsidRDefault="00771173" w:rsidP="0085275D">
      <w:pPr>
        <w:spacing w:after="120" w:line="360" w:lineRule="auto"/>
        <w:rPr>
          <w:rFonts w:eastAsiaTheme="majorEastAsia"/>
        </w:rPr>
      </w:pPr>
      <w:r>
        <w:rPr>
          <w:rFonts w:eastAsiaTheme="majorEastAsia"/>
        </w:rPr>
        <w:tab/>
      </w:r>
      <w:r w:rsidR="00A35AF4" w:rsidRPr="0085275D">
        <w:rPr>
          <w:rFonts w:eastAsiaTheme="majorEastAsia"/>
        </w:rPr>
        <w:t>Dr.</w:t>
      </w:r>
      <w:r>
        <w:rPr>
          <w:rFonts w:eastAsiaTheme="majorEastAsia"/>
        </w:rPr>
        <w:t xml:space="preserve"> </w:t>
      </w:r>
      <w:r w:rsidR="00A35AF4" w:rsidRPr="0085275D">
        <w:rPr>
          <w:rFonts w:eastAsiaTheme="majorEastAsia"/>
        </w:rPr>
        <w:t xml:space="preserve">Wancai Yang is the Dean of the Institute of Precision Medicine and School of Basic Medical Sciences, Jining Medical University, China, and a Professor of Pathology, University of Illinois at Chicago, USA. He is also an Adjunct Professor of Biological Sciences, University of Texas, El Paso, USA. He obtained his MD degree and was trained a pathologist from China and received postdoctoral training on cancer biology from Rockefeller University and Albert Einstein Cancer </w:t>
      </w:r>
      <w:proofErr w:type="gramStart"/>
      <w:r w:rsidR="00A35AF4" w:rsidRPr="0085275D">
        <w:rPr>
          <w:rFonts w:eastAsiaTheme="majorEastAsia"/>
        </w:rPr>
        <w:t>Center, and</w:t>
      </w:r>
      <w:proofErr w:type="gramEnd"/>
      <w:r w:rsidR="00A35AF4" w:rsidRPr="0085275D">
        <w:rPr>
          <w:rFonts w:eastAsiaTheme="majorEastAsia"/>
        </w:rPr>
        <w:t xml:space="preserve"> was promoted as Assistant Professor. In 2006, he was moved to the Department of Pathology, University of Illinois at Chicago. He was serving grant reviewer for the National Institutes of Health (USA) and the National Nature Science Foundation of China. His research focuses on: (1) the determination of mechanisms of gastrointestinal carcinogenesis, (2) identification of biomarkers for cancer detection and patient selection for chemotherapy, (3) implication of precision medicine in cancers. He has published about 90 articles and has brought important impact in clinical significance. </w:t>
      </w:r>
    </w:p>
    <w:p w14:paraId="26D8211E" w14:textId="77777777" w:rsidR="003221DF" w:rsidRPr="0085275D" w:rsidRDefault="00A35AF4" w:rsidP="0085275D">
      <w:pPr>
        <w:spacing w:after="120" w:line="360" w:lineRule="auto"/>
        <w:rPr>
          <w:color w:val="000000" w:themeColor="text1"/>
        </w:rPr>
      </w:pPr>
      <w:r w:rsidRPr="0085275D">
        <w:t xml:space="preserve">Email: </w:t>
      </w:r>
      <w:r w:rsidR="0085275D" w:rsidRPr="0085275D">
        <w:rPr>
          <w:color w:val="0836B8"/>
        </w:rPr>
        <w:t>w</w:t>
      </w:r>
      <w:r w:rsidRPr="0085275D">
        <w:rPr>
          <w:color w:val="0836B8"/>
        </w:rPr>
        <w:t>yang06@uic.edu</w:t>
      </w:r>
    </w:p>
    <w:sectPr w:rsidR="003221DF" w:rsidRPr="0085275D" w:rsidSect="001E15EB">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F31"/>
    <w:rsid w:val="001E15EB"/>
    <w:rsid w:val="00224ECC"/>
    <w:rsid w:val="003221DF"/>
    <w:rsid w:val="00444F31"/>
    <w:rsid w:val="00563307"/>
    <w:rsid w:val="00771173"/>
    <w:rsid w:val="0085275D"/>
    <w:rsid w:val="00955218"/>
    <w:rsid w:val="00A35AF4"/>
    <w:rsid w:val="00B34BCE"/>
    <w:rsid w:val="00D912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F5C2D"/>
  <w15:docId w15:val="{C628474C-C6CF-4FD9-B331-002511B59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E15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3221DF"/>
    <w:pPr>
      <w:spacing w:line="240" w:lineRule="auto"/>
    </w:pPr>
    <w:rPr>
      <w:rFonts w:ascii="Times New Roman" w:eastAsia="Batang" w:hAnsi="Times New Roman" w:cs="Times New Roman"/>
      <w:b/>
      <w:bCs/>
      <w:color w:val="4F81BD"/>
      <w:sz w:val="18"/>
      <w:szCs w:val="18"/>
      <w:lang w:eastAsia="ko-KR"/>
    </w:rPr>
  </w:style>
  <w:style w:type="paragraph" w:styleId="BalloonText">
    <w:name w:val="Balloon Text"/>
    <w:basedOn w:val="Normal"/>
    <w:link w:val="BalloonTextChar"/>
    <w:uiPriority w:val="99"/>
    <w:semiHidden/>
    <w:unhideWhenUsed/>
    <w:rsid w:val="003221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21DF"/>
    <w:rPr>
      <w:rFonts w:ascii="Tahoma" w:hAnsi="Tahoma" w:cs="Tahoma"/>
      <w:sz w:val="16"/>
      <w:szCs w:val="16"/>
    </w:rPr>
  </w:style>
  <w:style w:type="character" w:styleId="Strong">
    <w:name w:val="Strong"/>
    <w:basedOn w:val="DefaultParagraphFont"/>
    <w:uiPriority w:val="22"/>
    <w:qFormat/>
    <w:rsid w:val="00A35AF4"/>
    <w:rPr>
      <w:b/>
      <w:bCs/>
    </w:rPr>
  </w:style>
  <w:style w:type="character" w:customStyle="1" w:styleId="text-primary1">
    <w:name w:val="text-primary1"/>
    <w:basedOn w:val="DefaultParagraphFont"/>
    <w:rsid w:val="00A35AF4"/>
    <w:rPr>
      <w:color w:val="39598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512</Words>
  <Characters>2922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Yang</dc:creator>
  <cp:lastModifiedBy>Wancai Yang</cp:lastModifiedBy>
  <cp:revision>3</cp:revision>
  <dcterms:created xsi:type="dcterms:W3CDTF">2018-06-13T06:58:00Z</dcterms:created>
  <dcterms:modified xsi:type="dcterms:W3CDTF">2018-06-13T07:00:00Z</dcterms:modified>
</cp:coreProperties>
</file>