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E8D" w:rsidRDefault="00A40E8D" w:rsidP="00A65B0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bidi="ar-EG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Abstract</w:t>
      </w:r>
      <w:r w:rsidRPr="004C3BFE">
        <w:rPr>
          <w:rFonts w:ascii="Times New Roman" w:hAnsi="Times New Roman" w:cs="Times New Roman"/>
          <w:b/>
          <w:bCs/>
          <w:sz w:val="28"/>
          <w:szCs w:val="28"/>
          <w:lang w:bidi="ar-EG"/>
        </w:rPr>
        <w:t xml:space="preserve"> </w:t>
      </w:r>
    </w:p>
    <w:p w:rsidR="00A65B09" w:rsidRPr="004C3BFE" w:rsidRDefault="00A65B09" w:rsidP="00E3717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bidi="ar-EG"/>
        </w:rPr>
      </w:pPr>
      <w:bookmarkStart w:id="0" w:name="_GoBack"/>
      <w:r w:rsidRPr="004C3BFE">
        <w:rPr>
          <w:rFonts w:ascii="Times New Roman" w:hAnsi="Times New Roman" w:cs="Times New Roman"/>
          <w:b/>
          <w:bCs/>
          <w:sz w:val="28"/>
          <w:szCs w:val="28"/>
          <w:lang w:bidi="ar-EG"/>
        </w:rPr>
        <w:t>POLYMORPHISM OF HUMAN ORGANIC CATIONIC TRANSPORTER1 (C480G) IN EGYPTIAN CHRONIC MYELOID LEUKEMIA PATIENTS ON IMATINIB</w:t>
      </w:r>
    </w:p>
    <w:bookmarkEnd w:id="0"/>
    <w:p w:rsidR="00A65B09" w:rsidRDefault="00A92D35" w:rsidP="00A92D35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proofErr w:type="spellStart"/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>Nahla</w:t>
      </w:r>
      <w:proofErr w:type="spellEnd"/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A. M. </w:t>
      </w:r>
      <w:proofErr w:type="spellStart"/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>Hamed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*</w:t>
      </w:r>
      <w:r w:rsidR="00E37175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</w:t>
      </w:r>
      <w:proofErr w:type="spellStart"/>
      <w:r w:rsidR="00E37175">
        <w:rPr>
          <w:rFonts w:asciiTheme="majorBidi" w:hAnsiTheme="majorBidi" w:cstheme="majorBidi"/>
          <w:b/>
          <w:bCs/>
          <w:sz w:val="28"/>
          <w:szCs w:val="28"/>
          <w:lang w:bidi="ar-EG"/>
        </w:rPr>
        <w:t>Hashim</w:t>
      </w:r>
      <w:proofErr w:type="spellEnd"/>
      <w:r w:rsidR="00E37175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spellStart"/>
      <w:r w:rsidR="00E37175">
        <w:rPr>
          <w:rFonts w:asciiTheme="majorBidi" w:hAnsiTheme="majorBidi" w:cstheme="majorBidi"/>
          <w:b/>
          <w:bCs/>
          <w:sz w:val="28"/>
          <w:szCs w:val="28"/>
          <w:lang w:bidi="ar-EG"/>
        </w:rPr>
        <w:t>Neane</w:t>
      </w:r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>a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*</w:t>
      </w:r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Amal </w:t>
      </w:r>
      <w:r w:rsidR="00E37175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M. </w:t>
      </w:r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>Ghanem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**</w:t>
      </w:r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</w:t>
      </w:r>
      <w:proofErr w:type="spellStart"/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>Maha</w:t>
      </w:r>
      <w:proofErr w:type="spellEnd"/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="00E37175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M. A. </w:t>
      </w:r>
      <w:proofErr w:type="spellStart"/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>Elga</w:t>
      </w:r>
      <w:r w:rsidR="00E37175">
        <w:rPr>
          <w:rFonts w:asciiTheme="majorBidi" w:hAnsiTheme="majorBidi" w:cstheme="majorBidi"/>
          <w:b/>
          <w:bCs/>
          <w:sz w:val="28"/>
          <w:szCs w:val="28"/>
          <w:lang w:bidi="ar-EG"/>
        </w:rPr>
        <w:t>m</w:t>
      </w:r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>mal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**</w:t>
      </w:r>
      <w:r w:rsidR="00E37175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, </w:t>
      </w:r>
      <w:proofErr w:type="spellStart"/>
      <w:r w:rsidR="00E37175">
        <w:rPr>
          <w:rFonts w:asciiTheme="majorBidi" w:hAnsiTheme="majorBidi" w:cstheme="majorBidi"/>
          <w:b/>
          <w:bCs/>
          <w:sz w:val="28"/>
          <w:szCs w:val="28"/>
          <w:lang w:bidi="ar-EG"/>
        </w:rPr>
        <w:t>Yasme</w:t>
      </w:r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>n</w:t>
      </w:r>
      <w:proofErr w:type="spellEnd"/>
      <w:r w:rsidRPr="00A92D35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Samir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**</w:t>
      </w:r>
    </w:p>
    <w:p w:rsidR="00A92D35" w:rsidRPr="00A92D35" w:rsidRDefault="00A92D35" w:rsidP="0039459B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*</w:t>
      </w:r>
      <w:r w:rsidR="0039459B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Hematology Department, Faculty of Medicine and 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**</w:t>
      </w:r>
      <w:r w:rsidR="0039459B" w:rsidRPr="0039459B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="0039459B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Hematology Department, Medical Research Institute, Faculty of Medicine, Alexandria University, Egypt. </w:t>
      </w:r>
    </w:p>
    <w:p w:rsidR="00A65B09" w:rsidRPr="003A51F9" w:rsidRDefault="00A65B09" w:rsidP="00A92D35">
      <w:pPr>
        <w:autoSpaceDE w:val="0"/>
        <w:autoSpaceDN w:val="0"/>
        <w:adjustRightInd w:val="0"/>
        <w:spacing w:line="360" w:lineRule="auto"/>
        <w:jc w:val="both"/>
        <w:rPr>
          <w:rFonts w:asciiTheme="majorBidi" w:eastAsiaTheme="majorEastAsia" w:hAnsiTheme="majorBidi" w:cstheme="majorBidi"/>
          <w:spacing w:val="-10"/>
          <w:kern w:val="28"/>
          <w:sz w:val="24"/>
          <w:szCs w:val="24"/>
        </w:rPr>
      </w:pPr>
      <w:r w:rsidRPr="003A51F9">
        <w:rPr>
          <w:rStyle w:val="TitleChar"/>
          <w:rFonts w:asciiTheme="majorBidi" w:hAnsiTheme="majorBidi"/>
          <w:b/>
          <w:bCs/>
          <w:sz w:val="24"/>
          <w:szCs w:val="24"/>
        </w:rPr>
        <w:t>Background</w:t>
      </w:r>
      <w:r w:rsidRPr="00506C72">
        <w:rPr>
          <w:rStyle w:val="TitleChar"/>
          <w:rFonts w:asciiTheme="majorBidi" w:hAnsiTheme="majorBidi"/>
          <w:sz w:val="24"/>
          <w:szCs w:val="24"/>
        </w:rPr>
        <w:t xml:space="preserve">: Human organic </w:t>
      </w:r>
      <w:r>
        <w:rPr>
          <w:rStyle w:val="TitleChar"/>
          <w:rFonts w:asciiTheme="majorBidi" w:hAnsiTheme="majorBidi"/>
          <w:sz w:val="24"/>
          <w:szCs w:val="24"/>
        </w:rPr>
        <w:t xml:space="preserve">cationic </w:t>
      </w:r>
      <w:r w:rsidRPr="00506C72">
        <w:rPr>
          <w:rStyle w:val="TitleChar"/>
          <w:rFonts w:asciiTheme="majorBidi" w:hAnsiTheme="majorBidi"/>
          <w:sz w:val="24"/>
          <w:szCs w:val="24"/>
        </w:rPr>
        <w:t>transporter1 (Hoct1) is a p</w:t>
      </w:r>
      <w:r>
        <w:rPr>
          <w:rStyle w:val="TitleChar"/>
          <w:rFonts w:asciiTheme="majorBidi" w:hAnsiTheme="majorBidi"/>
          <w:sz w:val="24"/>
          <w:szCs w:val="24"/>
        </w:rPr>
        <w:t>la</w:t>
      </w:r>
      <w:r w:rsidRPr="00506C72">
        <w:rPr>
          <w:rStyle w:val="TitleChar"/>
          <w:rFonts w:asciiTheme="majorBidi" w:hAnsiTheme="majorBidi"/>
          <w:sz w:val="24"/>
          <w:szCs w:val="24"/>
        </w:rPr>
        <w:t xml:space="preserve">sma membrane transporter responsible for </w:t>
      </w:r>
      <w:r>
        <w:rPr>
          <w:rStyle w:val="TitleChar"/>
          <w:rFonts w:asciiTheme="majorBidi" w:hAnsiTheme="majorBidi"/>
          <w:sz w:val="24"/>
          <w:szCs w:val="24"/>
        </w:rPr>
        <w:t>the main influx</w:t>
      </w:r>
      <w:r w:rsidRPr="00506C72">
        <w:rPr>
          <w:rStyle w:val="TitleChar"/>
          <w:rFonts w:asciiTheme="majorBidi" w:hAnsiTheme="majorBidi"/>
          <w:sz w:val="24"/>
          <w:szCs w:val="24"/>
        </w:rPr>
        <w:t xml:space="preserve"> of Imatinib</w:t>
      </w:r>
      <w:r>
        <w:rPr>
          <w:rStyle w:val="TitleChar"/>
          <w:rFonts w:asciiTheme="majorBidi" w:hAnsiTheme="majorBidi"/>
          <w:sz w:val="24"/>
          <w:szCs w:val="24"/>
        </w:rPr>
        <w:t xml:space="preserve"> into </w:t>
      </w:r>
      <w:r w:rsidR="008B3AB9">
        <w:rPr>
          <w:rStyle w:val="TitleChar"/>
          <w:rFonts w:asciiTheme="majorBidi" w:hAnsiTheme="majorBidi"/>
          <w:sz w:val="24"/>
          <w:szCs w:val="24"/>
        </w:rPr>
        <w:t>chronic myeloid leukemia (</w:t>
      </w:r>
      <w:r>
        <w:rPr>
          <w:rStyle w:val="TitleChar"/>
          <w:rFonts w:asciiTheme="majorBidi" w:hAnsiTheme="majorBidi"/>
          <w:sz w:val="24"/>
          <w:szCs w:val="24"/>
        </w:rPr>
        <w:t>CML</w:t>
      </w:r>
      <w:r w:rsidR="008B3AB9">
        <w:rPr>
          <w:rStyle w:val="TitleChar"/>
          <w:rFonts w:asciiTheme="majorBidi" w:hAnsiTheme="majorBidi"/>
          <w:sz w:val="24"/>
          <w:szCs w:val="24"/>
        </w:rPr>
        <w:t>)</w:t>
      </w:r>
      <w:r>
        <w:rPr>
          <w:rStyle w:val="TitleChar"/>
          <w:rFonts w:asciiTheme="majorBidi" w:hAnsiTheme="majorBidi"/>
          <w:sz w:val="24"/>
          <w:szCs w:val="24"/>
        </w:rPr>
        <w:t xml:space="preserve"> cells</w:t>
      </w:r>
      <w:r w:rsidRPr="00506C72">
        <w:rPr>
          <w:rStyle w:val="TitleChar"/>
          <w:rFonts w:asciiTheme="majorBidi" w:hAnsiTheme="majorBidi"/>
          <w:sz w:val="24"/>
          <w:szCs w:val="24"/>
        </w:rPr>
        <w:t>.</w:t>
      </w:r>
      <w:r>
        <w:rPr>
          <w:rStyle w:val="TitleChar"/>
          <w:rFonts w:asciiTheme="majorBidi" w:hAnsiTheme="majorBidi"/>
          <w:sz w:val="24"/>
          <w:szCs w:val="24"/>
        </w:rPr>
        <w:t xml:space="preserve"> Single nucleotide polymorphisms</w:t>
      </w:r>
      <w:r w:rsidR="008B3AB9">
        <w:rPr>
          <w:rStyle w:val="TitleChar"/>
          <w:rFonts w:asciiTheme="majorBidi" w:hAnsiTheme="majorBidi"/>
          <w:sz w:val="24"/>
          <w:szCs w:val="24"/>
        </w:rPr>
        <w:t xml:space="preserve"> </w:t>
      </w:r>
      <w:r>
        <w:rPr>
          <w:rStyle w:val="TitleChar"/>
          <w:rFonts w:asciiTheme="majorBidi" w:hAnsiTheme="majorBidi"/>
          <w:sz w:val="24"/>
          <w:szCs w:val="24"/>
        </w:rPr>
        <w:t xml:space="preserve">(SNPs) in the gene coding for </w:t>
      </w:r>
      <w:r w:rsidR="00A92D35">
        <w:rPr>
          <w:rStyle w:val="A9"/>
          <w:rFonts w:asciiTheme="majorBidi" w:hAnsiTheme="majorBidi" w:cstheme="majorBidi"/>
          <w:sz w:val="24"/>
          <w:szCs w:val="24"/>
        </w:rPr>
        <w:t>hOCT</w:t>
      </w:r>
      <w:r>
        <w:rPr>
          <w:rStyle w:val="TitleChar"/>
          <w:rFonts w:asciiTheme="majorBidi" w:hAnsiTheme="majorBidi"/>
          <w:sz w:val="24"/>
          <w:szCs w:val="24"/>
        </w:rPr>
        <w:t xml:space="preserve">1 are important factors causing Imatinib resistance. </w:t>
      </w:r>
      <w:r w:rsidRPr="00506C72">
        <w:rPr>
          <w:rStyle w:val="TitleChar"/>
          <w:rFonts w:asciiTheme="majorBidi" w:hAnsiTheme="majorBidi"/>
          <w:sz w:val="24"/>
          <w:szCs w:val="24"/>
        </w:rPr>
        <w:t>We</w:t>
      </w:r>
      <w:r w:rsidRPr="00506C72">
        <w:rPr>
          <w:rStyle w:val="A1"/>
          <w:rFonts w:asciiTheme="majorBidi" w:hAnsiTheme="majorBidi" w:cstheme="majorBidi"/>
          <w:sz w:val="24"/>
          <w:szCs w:val="24"/>
        </w:rPr>
        <w:t xml:space="preserve"> investigated the </w:t>
      </w:r>
      <w:r w:rsidR="008B3AB9">
        <w:rPr>
          <w:rFonts w:asciiTheme="majorBidi" w:hAnsiTheme="majorBidi" w:cstheme="majorBidi"/>
          <w:sz w:val="24"/>
          <w:szCs w:val="24"/>
        </w:rPr>
        <w:t>frequency</w:t>
      </w:r>
      <w:r w:rsidR="008B3AB9" w:rsidRPr="00506C72">
        <w:rPr>
          <w:rStyle w:val="A1"/>
          <w:rFonts w:asciiTheme="majorBidi" w:hAnsiTheme="majorBidi" w:cstheme="majorBidi"/>
          <w:sz w:val="24"/>
          <w:szCs w:val="24"/>
        </w:rPr>
        <w:t xml:space="preserve"> </w:t>
      </w:r>
      <w:r w:rsidR="008B3AB9">
        <w:rPr>
          <w:rStyle w:val="A1"/>
          <w:rFonts w:asciiTheme="majorBidi" w:hAnsiTheme="majorBidi" w:cstheme="majorBidi"/>
          <w:sz w:val="24"/>
          <w:szCs w:val="24"/>
        </w:rPr>
        <w:t xml:space="preserve">of </w:t>
      </w:r>
      <w:r w:rsidR="00A92D35">
        <w:rPr>
          <w:rStyle w:val="A9"/>
          <w:rFonts w:asciiTheme="majorBidi" w:hAnsiTheme="majorBidi" w:cstheme="majorBidi"/>
          <w:sz w:val="24"/>
          <w:szCs w:val="24"/>
        </w:rPr>
        <w:t>hOCT</w:t>
      </w:r>
      <w:r w:rsidR="008B3AB9" w:rsidRPr="00A92D35">
        <w:rPr>
          <w:rStyle w:val="A1"/>
          <w:rFonts w:asciiTheme="majorBidi" w:hAnsiTheme="majorBidi" w:cstheme="majorBidi"/>
          <w:sz w:val="24"/>
          <w:szCs w:val="24"/>
        </w:rPr>
        <w:t>1</w:t>
      </w:r>
      <w:r w:rsidR="008B3AB9" w:rsidRPr="00506C72">
        <w:rPr>
          <w:rStyle w:val="A1"/>
          <w:rFonts w:asciiTheme="majorBidi" w:hAnsiTheme="majorBidi" w:cstheme="majorBidi"/>
          <w:sz w:val="24"/>
          <w:szCs w:val="24"/>
        </w:rPr>
        <w:t xml:space="preserve"> SNP C480G </w:t>
      </w:r>
      <w:r w:rsidR="008B3AB9" w:rsidRPr="00506C72">
        <w:rPr>
          <w:rFonts w:asciiTheme="majorBidi" w:hAnsiTheme="majorBidi" w:cstheme="majorBidi"/>
          <w:sz w:val="24"/>
          <w:szCs w:val="24"/>
        </w:rPr>
        <w:t xml:space="preserve">among Egyptian </w:t>
      </w:r>
      <w:r w:rsidR="008B3AB9">
        <w:rPr>
          <w:rFonts w:asciiTheme="majorBidi" w:hAnsiTheme="majorBidi" w:cstheme="majorBidi"/>
          <w:sz w:val="24"/>
          <w:szCs w:val="24"/>
        </w:rPr>
        <w:t xml:space="preserve">CML </w:t>
      </w:r>
      <w:r w:rsidR="008B3AB9" w:rsidRPr="00506C72">
        <w:rPr>
          <w:rFonts w:asciiTheme="majorBidi" w:hAnsiTheme="majorBidi" w:cstheme="majorBidi"/>
          <w:sz w:val="24"/>
          <w:szCs w:val="24"/>
        </w:rPr>
        <w:t>patients</w:t>
      </w:r>
      <w:r w:rsidR="008B3AB9" w:rsidRPr="00506C72">
        <w:rPr>
          <w:rStyle w:val="A1"/>
          <w:rFonts w:asciiTheme="majorBidi" w:hAnsiTheme="majorBidi" w:cstheme="majorBidi"/>
          <w:sz w:val="24"/>
          <w:szCs w:val="24"/>
        </w:rPr>
        <w:t xml:space="preserve"> </w:t>
      </w:r>
      <w:r w:rsidR="008B3AB9">
        <w:rPr>
          <w:rStyle w:val="A1"/>
          <w:rFonts w:asciiTheme="majorBidi" w:hAnsiTheme="majorBidi" w:cstheme="majorBidi"/>
          <w:sz w:val="24"/>
          <w:szCs w:val="24"/>
        </w:rPr>
        <w:t xml:space="preserve">and its </w:t>
      </w:r>
      <w:r w:rsidRPr="00506C72">
        <w:rPr>
          <w:rStyle w:val="A1"/>
          <w:rFonts w:asciiTheme="majorBidi" w:hAnsiTheme="majorBidi" w:cstheme="majorBidi"/>
          <w:sz w:val="24"/>
          <w:szCs w:val="24"/>
        </w:rPr>
        <w:t xml:space="preserve">relation </w:t>
      </w:r>
      <w:r w:rsidR="008B3AB9">
        <w:rPr>
          <w:rStyle w:val="A1"/>
          <w:rFonts w:asciiTheme="majorBidi" w:hAnsiTheme="majorBidi" w:cstheme="majorBidi"/>
          <w:sz w:val="24"/>
          <w:szCs w:val="24"/>
        </w:rPr>
        <w:t>to</w:t>
      </w:r>
      <w:r w:rsidRPr="00506C72">
        <w:rPr>
          <w:rStyle w:val="A1"/>
          <w:rFonts w:asciiTheme="majorBidi" w:hAnsiTheme="majorBidi" w:cstheme="majorBidi"/>
          <w:sz w:val="24"/>
          <w:szCs w:val="24"/>
        </w:rPr>
        <w:t xml:space="preserve"> treatment outcome</w:t>
      </w:r>
      <w:r w:rsidRPr="00506C72">
        <w:rPr>
          <w:rFonts w:asciiTheme="majorBidi" w:hAnsiTheme="majorBidi" w:cstheme="majorBidi"/>
          <w:sz w:val="24"/>
          <w:szCs w:val="24"/>
        </w:rPr>
        <w:t xml:space="preserve">. </w:t>
      </w:r>
    </w:p>
    <w:p w:rsidR="00A65B09" w:rsidRPr="003A51F9" w:rsidRDefault="00A65B09" w:rsidP="00A92D35">
      <w:pPr>
        <w:autoSpaceDE w:val="0"/>
        <w:autoSpaceDN w:val="0"/>
        <w:adjustRightInd w:val="0"/>
        <w:spacing w:line="360" w:lineRule="auto"/>
        <w:jc w:val="both"/>
        <w:rPr>
          <w:rStyle w:val="A9"/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A51F9">
        <w:rPr>
          <w:rFonts w:asciiTheme="majorBidi" w:hAnsiTheme="majorBidi" w:cstheme="majorBidi"/>
          <w:b/>
          <w:bCs/>
          <w:sz w:val="24"/>
          <w:szCs w:val="24"/>
        </w:rPr>
        <w:t>M</w:t>
      </w:r>
      <w:r w:rsidR="00E73132">
        <w:rPr>
          <w:rFonts w:asciiTheme="majorBidi" w:hAnsiTheme="majorBidi" w:cstheme="majorBidi"/>
          <w:b/>
          <w:bCs/>
          <w:sz w:val="24"/>
          <w:szCs w:val="24"/>
        </w:rPr>
        <w:t>aterials and m</w:t>
      </w:r>
      <w:r w:rsidRPr="003A51F9">
        <w:rPr>
          <w:rFonts w:asciiTheme="majorBidi" w:hAnsiTheme="majorBidi" w:cstheme="majorBidi"/>
          <w:b/>
          <w:bCs/>
          <w:sz w:val="24"/>
          <w:szCs w:val="24"/>
        </w:rPr>
        <w:t>ethod</w:t>
      </w:r>
      <w:r w:rsidR="00E73132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3A51F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3A51F9">
        <w:rPr>
          <w:rFonts w:asciiTheme="majorBidi" w:hAnsiTheme="majorBidi" w:cstheme="majorBidi"/>
          <w:sz w:val="24"/>
          <w:szCs w:val="24"/>
        </w:rPr>
        <w:t>Two</w:t>
      </w:r>
      <w:r w:rsidRPr="00506C72">
        <w:rPr>
          <w:rFonts w:asciiTheme="majorBidi" w:hAnsiTheme="majorBidi" w:cstheme="majorBidi"/>
          <w:sz w:val="24"/>
          <w:szCs w:val="24"/>
        </w:rPr>
        <w:t xml:space="preserve"> groups of CML patients were included</w:t>
      </w:r>
      <w:r w:rsidR="008B3AB9">
        <w:rPr>
          <w:rFonts w:asciiTheme="majorBidi" w:hAnsiTheme="majorBidi" w:cstheme="majorBidi"/>
          <w:sz w:val="24"/>
          <w:szCs w:val="24"/>
        </w:rPr>
        <w:t xml:space="preserve"> in this study.</w:t>
      </w:r>
      <w:r w:rsidRPr="00506C72">
        <w:rPr>
          <w:rFonts w:asciiTheme="majorBidi" w:hAnsiTheme="majorBidi" w:cstheme="majorBidi"/>
          <w:sz w:val="24"/>
          <w:szCs w:val="24"/>
        </w:rPr>
        <w:t xml:space="preserve"> </w:t>
      </w:r>
      <w:r w:rsidR="008B3AB9">
        <w:rPr>
          <w:rFonts w:asciiTheme="majorBidi" w:hAnsiTheme="majorBidi" w:cstheme="majorBidi"/>
          <w:b/>
          <w:bCs/>
          <w:sz w:val="24"/>
          <w:szCs w:val="24"/>
        </w:rPr>
        <w:t>G</w:t>
      </w:r>
      <w:r w:rsidRPr="00506C72">
        <w:rPr>
          <w:rFonts w:asciiTheme="majorBidi" w:hAnsiTheme="majorBidi" w:cstheme="majorBidi"/>
          <w:b/>
          <w:bCs/>
          <w:sz w:val="24"/>
          <w:szCs w:val="24"/>
        </w:rPr>
        <w:t>roup I</w:t>
      </w:r>
      <w:r w:rsidRPr="00506C7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consisted of </w:t>
      </w:r>
      <w:r w:rsidRPr="00506C72">
        <w:rPr>
          <w:rFonts w:asciiTheme="majorBidi" w:hAnsiTheme="majorBidi" w:cstheme="majorBidi"/>
          <w:sz w:val="24"/>
          <w:szCs w:val="24"/>
        </w:rPr>
        <w:t xml:space="preserve">25 patients </w:t>
      </w:r>
      <w:r w:rsidR="008B3AB9">
        <w:rPr>
          <w:rFonts w:asciiTheme="majorBidi" w:hAnsiTheme="majorBidi" w:cstheme="majorBidi"/>
          <w:sz w:val="24"/>
          <w:szCs w:val="24"/>
        </w:rPr>
        <w:t>respondi</w:t>
      </w:r>
      <w:r w:rsidRPr="00506C72">
        <w:rPr>
          <w:rFonts w:asciiTheme="majorBidi" w:hAnsiTheme="majorBidi" w:cstheme="majorBidi"/>
          <w:sz w:val="24"/>
          <w:szCs w:val="24"/>
        </w:rPr>
        <w:t>n</w:t>
      </w:r>
      <w:r w:rsidR="008B3AB9">
        <w:rPr>
          <w:rFonts w:asciiTheme="majorBidi" w:hAnsiTheme="majorBidi" w:cstheme="majorBidi"/>
          <w:sz w:val="24"/>
          <w:szCs w:val="24"/>
        </w:rPr>
        <w:t>g to</w:t>
      </w:r>
      <w:r w:rsidRPr="00506C72">
        <w:rPr>
          <w:rFonts w:asciiTheme="majorBidi" w:hAnsiTheme="majorBidi" w:cstheme="majorBidi"/>
          <w:sz w:val="24"/>
          <w:szCs w:val="24"/>
        </w:rPr>
        <w:t xml:space="preserve"> </w:t>
      </w:r>
      <w:r w:rsidR="00A92D35">
        <w:rPr>
          <w:rFonts w:asciiTheme="majorBidi" w:hAnsiTheme="majorBidi" w:cstheme="majorBidi"/>
          <w:sz w:val="24"/>
          <w:szCs w:val="24"/>
        </w:rPr>
        <w:t>i</w:t>
      </w:r>
      <w:r>
        <w:rPr>
          <w:rFonts w:asciiTheme="majorBidi" w:hAnsiTheme="majorBidi" w:cstheme="majorBidi"/>
          <w:sz w:val="24"/>
          <w:szCs w:val="24"/>
        </w:rPr>
        <w:t xml:space="preserve">matinib </w:t>
      </w:r>
      <w:r w:rsidR="008B3AB9">
        <w:rPr>
          <w:rFonts w:asciiTheme="majorBidi" w:hAnsiTheme="majorBidi" w:cstheme="majorBidi"/>
          <w:sz w:val="24"/>
          <w:szCs w:val="24"/>
        </w:rPr>
        <w:t xml:space="preserve">treatment </w:t>
      </w:r>
      <w:r w:rsidR="008B3AB9" w:rsidRPr="00506C72">
        <w:rPr>
          <w:rFonts w:asciiTheme="majorBidi" w:hAnsiTheme="majorBidi" w:cstheme="majorBidi"/>
          <w:sz w:val="24"/>
          <w:szCs w:val="24"/>
        </w:rPr>
        <w:t>(</w:t>
      </w:r>
      <w:r w:rsidR="00A92D35"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8B3AB9" w:rsidRPr="00506C72">
        <w:rPr>
          <w:rFonts w:asciiTheme="majorBidi" w:hAnsiTheme="majorBidi" w:cstheme="majorBidi"/>
          <w:b/>
          <w:bCs/>
          <w:sz w:val="24"/>
          <w:szCs w:val="24"/>
        </w:rPr>
        <w:t>matinib</w:t>
      </w:r>
      <w:r w:rsidR="008B3AB9" w:rsidRPr="00506C72">
        <w:rPr>
          <w:rFonts w:asciiTheme="majorBidi" w:hAnsiTheme="majorBidi" w:cstheme="majorBidi"/>
          <w:sz w:val="24"/>
          <w:szCs w:val="24"/>
        </w:rPr>
        <w:t xml:space="preserve"> </w:t>
      </w:r>
      <w:r w:rsidR="008B3AB9" w:rsidRPr="00506C72">
        <w:rPr>
          <w:rFonts w:asciiTheme="majorBidi" w:hAnsiTheme="majorBidi" w:cstheme="majorBidi"/>
          <w:b/>
          <w:bCs/>
          <w:sz w:val="24"/>
          <w:szCs w:val="24"/>
        </w:rPr>
        <w:t>responsive</w:t>
      </w:r>
      <w:r w:rsidR="008B3AB9" w:rsidRPr="00506C72">
        <w:rPr>
          <w:rFonts w:asciiTheme="majorBidi" w:hAnsiTheme="majorBidi" w:cstheme="majorBidi"/>
          <w:sz w:val="24"/>
          <w:szCs w:val="24"/>
        </w:rPr>
        <w:t>)</w:t>
      </w:r>
      <w:r w:rsidR="008B3AB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and</w:t>
      </w:r>
      <w:r w:rsidRPr="00506C72">
        <w:rPr>
          <w:rFonts w:asciiTheme="majorBidi" w:hAnsiTheme="majorBidi" w:cstheme="majorBidi"/>
          <w:sz w:val="24"/>
          <w:szCs w:val="24"/>
        </w:rPr>
        <w:t xml:space="preserve"> </w:t>
      </w:r>
      <w:r w:rsidRPr="00506C72">
        <w:rPr>
          <w:rFonts w:asciiTheme="majorBidi" w:hAnsiTheme="majorBidi" w:cstheme="majorBidi"/>
          <w:b/>
          <w:bCs/>
          <w:sz w:val="24"/>
          <w:szCs w:val="24"/>
        </w:rPr>
        <w:t xml:space="preserve">group II </w:t>
      </w:r>
      <w:r w:rsidRPr="001726E9">
        <w:rPr>
          <w:rFonts w:asciiTheme="majorBidi" w:hAnsiTheme="majorBidi" w:cstheme="majorBidi"/>
          <w:sz w:val="24"/>
          <w:szCs w:val="24"/>
        </w:rPr>
        <w:t>consisted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726E9">
        <w:rPr>
          <w:rFonts w:asciiTheme="majorBidi" w:hAnsiTheme="majorBidi" w:cstheme="majorBidi"/>
          <w:sz w:val="24"/>
          <w:szCs w:val="24"/>
        </w:rPr>
        <w:t>of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06C72">
        <w:rPr>
          <w:rFonts w:asciiTheme="majorBidi" w:hAnsiTheme="majorBidi" w:cstheme="majorBidi"/>
          <w:sz w:val="24"/>
          <w:szCs w:val="24"/>
        </w:rPr>
        <w:t xml:space="preserve">25 patients </w:t>
      </w:r>
      <w:r>
        <w:rPr>
          <w:rFonts w:asciiTheme="majorBidi" w:hAnsiTheme="majorBidi" w:cstheme="majorBidi"/>
          <w:sz w:val="24"/>
          <w:szCs w:val="24"/>
        </w:rPr>
        <w:t xml:space="preserve">resistant to </w:t>
      </w:r>
      <w:r w:rsidR="00A92D35">
        <w:rPr>
          <w:rFonts w:asciiTheme="majorBidi" w:hAnsiTheme="majorBidi" w:cstheme="majorBidi"/>
          <w:sz w:val="24"/>
          <w:szCs w:val="24"/>
        </w:rPr>
        <w:t>i</w:t>
      </w:r>
      <w:r>
        <w:rPr>
          <w:rFonts w:asciiTheme="majorBidi" w:hAnsiTheme="majorBidi" w:cstheme="majorBidi"/>
          <w:sz w:val="24"/>
          <w:szCs w:val="24"/>
        </w:rPr>
        <w:t>matinib</w:t>
      </w:r>
      <w:r w:rsidR="008B3AB9">
        <w:rPr>
          <w:rFonts w:asciiTheme="majorBidi" w:hAnsiTheme="majorBidi" w:cstheme="majorBidi"/>
          <w:sz w:val="24"/>
          <w:szCs w:val="24"/>
        </w:rPr>
        <w:t xml:space="preserve"> </w:t>
      </w:r>
      <w:r w:rsidR="008B3AB9" w:rsidRPr="00506C72">
        <w:rPr>
          <w:rFonts w:asciiTheme="majorBidi" w:hAnsiTheme="majorBidi" w:cstheme="majorBidi"/>
          <w:b/>
          <w:bCs/>
          <w:sz w:val="24"/>
          <w:szCs w:val="24"/>
        </w:rPr>
        <w:t>(</w:t>
      </w:r>
      <w:r w:rsidR="00A92D35"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8B3AB9" w:rsidRPr="00506C72">
        <w:rPr>
          <w:rFonts w:asciiTheme="majorBidi" w:hAnsiTheme="majorBidi" w:cstheme="majorBidi"/>
          <w:b/>
          <w:bCs/>
          <w:sz w:val="24"/>
          <w:szCs w:val="24"/>
        </w:rPr>
        <w:t>matinib resistant)</w:t>
      </w:r>
      <w:r>
        <w:rPr>
          <w:rFonts w:asciiTheme="majorBidi" w:hAnsiTheme="majorBidi" w:cstheme="majorBidi"/>
          <w:sz w:val="24"/>
          <w:szCs w:val="24"/>
        </w:rPr>
        <w:t>.</w:t>
      </w:r>
      <w:r w:rsidR="008B3AB9">
        <w:rPr>
          <w:rFonts w:asciiTheme="majorBidi" w:hAnsiTheme="majorBidi" w:cstheme="majorBidi"/>
          <w:sz w:val="24"/>
          <w:szCs w:val="24"/>
        </w:rPr>
        <w:t xml:space="preserve"> </w:t>
      </w:r>
      <w:r w:rsidR="008B3AB9" w:rsidRPr="00BC54B0">
        <w:rPr>
          <w:rFonts w:asciiTheme="majorBidi" w:hAnsiTheme="majorBidi" w:cstheme="majorBidi"/>
          <w:sz w:val="24"/>
          <w:szCs w:val="24"/>
        </w:rPr>
        <w:t>Response</w:t>
      </w:r>
      <w:r w:rsidR="008B3AB9">
        <w:rPr>
          <w:rStyle w:val="A9"/>
          <w:rFonts w:asciiTheme="majorBidi" w:hAnsiTheme="majorBidi" w:cstheme="majorBidi"/>
          <w:sz w:val="24"/>
          <w:szCs w:val="24"/>
        </w:rPr>
        <w:t xml:space="preserve"> criteria were assessed according to the NCCN guidelines 2017. </w:t>
      </w:r>
      <w:r w:rsidR="008B3AB9">
        <w:rPr>
          <w:rFonts w:asciiTheme="majorBidi" w:hAnsiTheme="majorBidi" w:cstheme="majorBidi"/>
          <w:sz w:val="24"/>
          <w:szCs w:val="24"/>
        </w:rPr>
        <w:t xml:space="preserve">Twenty </w:t>
      </w:r>
      <w:r w:rsidRPr="00506C72">
        <w:rPr>
          <w:rFonts w:asciiTheme="majorBidi" w:hAnsiTheme="majorBidi" w:cstheme="majorBidi"/>
          <w:sz w:val="24"/>
          <w:szCs w:val="24"/>
        </w:rPr>
        <w:t>healthy control</w:t>
      </w:r>
      <w:r>
        <w:rPr>
          <w:rFonts w:asciiTheme="majorBidi" w:hAnsiTheme="majorBidi" w:cstheme="majorBidi"/>
          <w:sz w:val="24"/>
          <w:szCs w:val="24"/>
        </w:rPr>
        <w:t>s of matched age and sex</w:t>
      </w:r>
      <w:r w:rsidRPr="00506C7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were </w:t>
      </w:r>
      <w:r w:rsidR="008B3AB9">
        <w:rPr>
          <w:rFonts w:asciiTheme="majorBidi" w:hAnsiTheme="majorBidi" w:cstheme="majorBidi"/>
          <w:sz w:val="24"/>
          <w:szCs w:val="24"/>
        </w:rPr>
        <w:t xml:space="preserve">also </w:t>
      </w:r>
      <w:r>
        <w:rPr>
          <w:rFonts w:asciiTheme="majorBidi" w:hAnsiTheme="majorBidi" w:cstheme="majorBidi"/>
          <w:sz w:val="24"/>
          <w:szCs w:val="24"/>
        </w:rPr>
        <w:t xml:space="preserve">included </w:t>
      </w:r>
      <w:r w:rsidRPr="00FC4205">
        <w:rPr>
          <w:rFonts w:asciiTheme="majorBidi" w:hAnsiTheme="majorBidi" w:cstheme="majorBidi"/>
          <w:b/>
          <w:bCs/>
          <w:sz w:val="24"/>
          <w:szCs w:val="24"/>
        </w:rPr>
        <w:t>(group III)</w:t>
      </w:r>
      <w:r w:rsidRPr="00506C72">
        <w:rPr>
          <w:rFonts w:asciiTheme="majorBidi" w:hAnsiTheme="majorBidi" w:cstheme="majorBidi"/>
          <w:sz w:val="24"/>
          <w:szCs w:val="24"/>
        </w:rPr>
        <w:t xml:space="preserve">. </w:t>
      </w:r>
      <w:r w:rsidRPr="00506C72">
        <w:rPr>
          <w:rFonts w:asciiTheme="majorBidi" w:hAnsiTheme="majorBidi" w:cstheme="majorBidi"/>
          <w:spacing w:val="-6"/>
          <w:sz w:val="24"/>
          <w:szCs w:val="24"/>
        </w:rPr>
        <w:t>For al</w:t>
      </w:r>
      <w:r>
        <w:rPr>
          <w:rFonts w:asciiTheme="majorBidi" w:hAnsiTheme="majorBidi" w:cstheme="majorBidi"/>
          <w:spacing w:val="-6"/>
          <w:sz w:val="24"/>
          <w:szCs w:val="24"/>
        </w:rPr>
        <w:t xml:space="preserve">l patients, we </w:t>
      </w:r>
      <w:r w:rsidR="008B3AB9">
        <w:rPr>
          <w:rFonts w:asciiTheme="majorBidi" w:hAnsiTheme="majorBidi" w:cstheme="majorBidi"/>
          <w:spacing w:val="-6"/>
          <w:sz w:val="24"/>
          <w:szCs w:val="24"/>
        </w:rPr>
        <w:t>studied</w:t>
      </w:r>
      <w:r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="00A92D35">
        <w:rPr>
          <w:rStyle w:val="A9"/>
          <w:rFonts w:asciiTheme="majorBidi" w:hAnsiTheme="majorBidi" w:cstheme="majorBidi"/>
          <w:sz w:val="24"/>
          <w:szCs w:val="24"/>
        </w:rPr>
        <w:t>hOCT</w:t>
      </w:r>
      <w:r w:rsidR="008B3AB9" w:rsidRPr="00A92D35">
        <w:rPr>
          <w:rFonts w:asciiTheme="majorBidi" w:hAnsiTheme="majorBidi" w:cstheme="majorBidi"/>
          <w:spacing w:val="-6"/>
          <w:sz w:val="24"/>
          <w:szCs w:val="24"/>
        </w:rPr>
        <w:t>1</w:t>
      </w:r>
      <w:r w:rsidR="008B3AB9" w:rsidRPr="00506C72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="008B3AB9" w:rsidRPr="00506C72">
        <w:rPr>
          <w:rFonts w:asciiTheme="majorBidi" w:hAnsiTheme="majorBidi" w:cstheme="majorBidi"/>
          <w:sz w:val="24"/>
          <w:szCs w:val="24"/>
        </w:rPr>
        <w:t>C480G</w:t>
      </w:r>
      <w:r w:rsidR="008B3AB9">
        <w:rPr>
          <w:rFonts w:asciiTheme="majorBidi" w:hAnsiTheme="majorBidi" w:cstheme="majorBidi"/>
          <w:sz w:val="24"/>
          <w:szCs w:val="24"/>
        </w:rPr>
        <w:t xml:space="preserve"> at initial presentation</w:t>
      </w:r>
      <w:r w:rsidR="008B3AB9" w:rsidRPr="00506C72">
        <w:rPr>
          <w:rFonts w:asciiTheme="majorBidi" w:hAnsiTheme="majorBidi" w:cstheme="majorBidi"/>
          <w:sz w:val="24"/>
          <w:szCs w:val="24"/>
        </w:rPr>
        <w:t xml:space="preserve"> using </w:t>
      </w:r>
      <w:proofErr w:type="spellStart"/>
      <w:r w:rsidR="008B3AB9" w:rsidRPr="00BC54B0">
        <w:rPr>
          <w:rFonts w:asciiTheme="majorBidi" w:hAnsiTheme="majorBidi" w:cstheme="majorBidi"/>
          <w:i/>
          <w:iCs/>
          <w:sz w:val="24"/>
          <w:szCs w:val="24"/>
        </w:rPr>
        <w:t>Taqman</w:t>
      </w:r>
      <w:proofErr w:type="spellEnd"/>
      <w:r w:rsidR="008B3AB9" w:rsidRPr="00BC54B0">
        <w:rPr>
          <w:rFonts w:asciiTheme="majorBidi" w:hAnsiTheme="majorBidi" w:cstheme="majorBidi"/>
          <w:sz w:val="24"/>
          <w:szCs w:val="24"/>
        </w:rPr>
        <w:t xml:space="preserve"> drug metabolism genotyping </w:t>
      </w:r>
      <w:r w:rsidR="008B3AB9">
        <w:rPr>
          <w:rFonts w:asciiTheme="majorBidi" w:hAnsiTheme="majorBidi" w:cstheme="majorBidi"/>
          <w:sz w:val="24"/>
          <w:szCs w:val="24"/>
        </w:rPr>
        <w:t xml:space="preserve">as well as </w:t>
      </w:r>
      <w:r>
        <w:rPr>
          <w:rFonts w:asciiTheme="majorBidi" w:hAnsiTheme="majorBidi" w:cstheme="majorBidi"/>
          <w:spacing w:val="-6"/>
          <w:sz w:val="24"/>
          <w:szCs w:val="24"/>
        </w:rPr>
        <w:t>BCR-ABL</w:t>
      </w:r>
      <w:r w:rsidRPr="00506C72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="00A92D35">
        <w:rPr>
          <w:rFonts w:asciiTheme="majorBidi" w:hAnsiTheme="majorBidi" w:cstheme="majorBidi"/>
          <w:spacing w:val="-6"/>
          <w:sz w:val="24"/>
          <w:szCs w:val="24"/>
        </w:rPr>
        <w:t>percent</w:t>
      </w:r>
      <w:r w:rsidR="0029306D">
        <w:rPr>
          <w:rFonts w:asciiTheme="majorBidi" w:hAnsiTheme="majorBidi" w:cstheme="majorBidi"/>
          <w:spacing w:val="-6"/>
          <w:sz w:val="24"/>
          <w:szCs w:val="24"/>
        </w:rPr>
        <w:t xml:space="preserve"> </w:t>
      </w:r>
      <w:r w:rsidRPr="00506C72">
        <w:rPr>
          <w:rFonts w:asciiTheme="majorBidi" w:hAnsiTheme="majorBidi" w:cstheme="majorBidi"/>
          <w:spacing w:val="-6"/>
          <w:sz w:val="24"/>
          <w:szCs w:val="24"/>
        </w:rPr>
        <w:t xml:space="preserve">at diagnosis and </w:t>
      </w:r>
      <w:r w:rsidR="0029306D">
        <w:rPr>
          <w:rFonts w:asciiTheme="majorBidi" w:hAnsiTheme="majorBidi" w:cstheme="majorBidi"/>
          <w:spacing w:val="-6"/>
          <w:sz w:val="24"/>
          <w:szCs w:val="24"/>
        </w:rPr>
        <w:t>after 3 months interval</w:t>
      </w:r>
      <w:r w:rsidRPr="00BC54B0">
        <w:rPr>
          <w:rFonts w:asciiTheme="majorBidi" w:hAnsiTheme="majorBidi" w:cstheme="majorBidi"/>
          <w:sz w:val="24"/>
          <w:szCs w:val="24"/>
        </w:rPr>
        <w:t xml:space="preserve">. </w:t>
      </w:r>
    </w:p>
    <w:p w:rsidR="00E52327" w:rsidRDefault="00A65B09" w:rsidP="00A92D35">
      <w:pPr>
        <w:spacing w:before="80" w:after="4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A51F9">
        <w:rPr>
          <w:rStyle w:val="A9"/>
          <w:rFonts w:asciiTheme="majorBidi" w:hAnsiTheme="majorBidi" w:cstheme="majorBidi"/>
          <w:b/>
          <w:bCs/>
          <w:sz w:val="24"/>
          <w:szCs w:val="24"/>
        </w:rPr>
        <w:t>Results</w:t>
      </w:r>
      <w:r>
        <w:rPr>
          <w:rStyle w:val="A9"/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Style w:val="A9"/>
          <w:rFonts w:asciiTheme="majorBidi" w:hAnsiTheme="majorBidi" w:cstheme="majorBidi"/>
          <w:sz w:val="24"/>
          <w:szCs w:val="24"/>
        </w:rPr>
        <w:t>hOCT</w:t>
      </w:r>
      <w:r w:rsidRPr="00A92D35">
        <w:rPr>
          <w:rStyle w:val="A9"/>
          <w:rFonts w:asciiTheme="majorBidi" w:hAnsiTheme="majorBidi" w:cstheme="majorBidi"/>
          <w:sz w:val="24"/>
          <w:szCs w:val="24"/>
        </w:rPr>
        <w:t>1</w:t>
      </w:r>
      <w:r>
        <w:rPr>
          <w:rStyle w:val="A9"/>
          <w:rFonts w:asciiTheme="majorBidi" w:hAnsiTheme="majorBidi" w:cstheme="majorBidi"/>
          <w:sz w:val="24"/>
          <w:szCs w:val="24"/>
        </w:rPr>
        <w:t xml:space="preserve"> C480G was present in 32% of </w:t>
      </w:r>
      <w:r w:rsidR="00876C29">
        <w:rPr>
          <w:rStyle w:val="A9"/>
          <w:rFonts w:asciiTheme="majorBidi" w:hAnsiTheme="majorBidi" w:cstheme="majorBidi"/>
          <w:sz w:val="24"/>
          <w:szCs w:val="24"/>
        </w:rPr>
        <w:t xml:space="preserve">studied </w:t>
      </w:r>
      <w:r>
        <w:rPr>
          <w:rStyle w:val="A9"/>
          <w:rFonts w:asciiTheme="majorBidi" w:hAnsiTheme="majorBidi" w:cstheme="majorBidi"/>
          <w:sz w:val="24"/>
          <w:szCs w:val="24"/>
        </w:rPr>
        <w:t>CML patients.</w:t>
      </w:r>
      <w:r w:rsidR="00A92D35">
        <w:rPr>
          <w:rStyle w:val="A9"/>
          <w:rFonts w:asciiTheme="majorBidi" w:hAnsiTheme="majorBidi" w:cstheme="majorBidi"/>
          <w:sz w:val="24"/>
          <w:szCs w:val="24"/>
        </w:rPr>
        <w:t xml:space="preserve"> </w:t>
      </w:r>
      <w:r>
        <w:rPr>
          <w:rStyle w:val="A9"/>
          <w:rFonts w:asciiTheme="majorBidi" w:hAnsiTheme="majorBidi" w:cstheme="majorBidi"/>
          <w:sz w:val="24"/>
          <w:szCs w:val="24"/>
        </w:rPr>
        <w:t xml:space="preserve">CC (wild) was detected in 68 % of group I and 64 % of group II. CG (mutant heterozygous) was </w:t>
      </w:r>
      <w:r w:rsidR="00876C29">
        <w:rPr>
          <w:rStyle w:val="A9"/>
          <w:rFonts w:asciiTheme="majorBidi" w:hAnsiTheme="majorBidi" w:cstheme="majorBidi"/>
          <w:sz w:val="24"/>
          <w:szCs w:val="24"/>
        </w:rPr>
        <w:t>present</w:t>
      </w:r>
      <w:r>
        <w:rPr>
          <w:rStyle w:val="A9"/>
          <w:rFonts w:asciiTheme="majorBidi" w:hAnsiTheme="majorBidi" w:cstheme="majorBidi"/>
          <w:sz w:val="24"/>
          <w:szCs w:val="24"/>
        </w:rPr>
        <w:t xml:space="preserve"> in 28% of group I and 36% of group II while GG (mutant homozygous) was detected </w:t>
      </w:r>
      <w:r w:rsidR="00876C29">
        <w:rPr>
          <w:rStyle w:val="A9"/>
          <w:rFonts w:asciiTheme="majorBidi" w:hAnsiTheme="majorBidi" w:cstheme="majorBidi"/>
          <w:sz w:val="24"/>
          <w:szCs w:val="24"/>
        </w:rPr>
        <w:t xml:space="preserve">in </w:t>
      </w:r>
      <w:r>
        <w:rPr>
          <w:rStyle w:val="A9"/>
          <w:rFonts w:asciiTheme="majorBidi" w:hAnsiTheme="majorBidi" w:cstheme="majorBidi"/>
          <w:sz w:val="24"/>
          <w:szCs w:val="24"/>
        </w:rPr>
        <w:t xml:space="preserve">only one case in group I. </w:t>
      </w:r>
      <w:r w:rsidRPr="00DC0985">
        <w:rPr>
          <w:rFonts w:asciiTheme="majorBidi" w:hAnsiTheme="majorBidi" w:cstheme="majorBidi"/>
          <w:sz w:val="24"/>
          <w:szCs w:val="24"/>
        </w:rPr>
        <w:t xml:space="preserve">There </w:t>
      </w:r>
      <w:r w:rsidR="00A92D35">
        <w:rPr>
          <w:rFonts w:asciiTheme="majorBidi" w:hAnsiTheme="majorBidi" w:cstheme="majorBidi"/>
          <w:sz w:val="24"/>
          <w:szCs w:val="24"/>
        </w:rPr>
        <w:t>wa</w:t>
      </w:r>
      <w:r w:rsidRPr="00DC0985">
        <w:rPr>
          <w:rFonts w:asciiTheme="majorBidi" w:hAnsiTheme="majorBidi" w:cstheme="majorBidi"/>
          <w:sz w:val="24"/>
          <w:szCs w:val="24"/>
        </w:rPr>
        <w:t xml:space="preserve">s no significant difference </w:t>
      </w:r>
      <w:r>
        <w:rPr>
          <w:rFonts w:asciiTheme="majorBidi" w:hAnsiTheme="majorBidi" w:cstheme="majorBidi"/>
          <w:sz w:val="24"/>
          <w:szCs w:val="24"/>
        </w:rPr>
        <w:t xml:space="preserve">between </w:t>
      </w:r>
      <w:r w:rsidR="00A92D35">
        <w:rPr>
          <w:rStyle w:val="A9"/>
          <w:rFonts w:asciiTheme="majorBidi" w:hAnsiTheme="majorBidi" w:cstheme="majorBidi"/>
          <w:sz w:val="24"/>
          <w:szCs w:val="24"/>
        </w:rPr>
        <w:t>hOCT</w:t>
      </w:r>
      <w:r w:rsidRPr="00A92D35">
        <w:rPr>
          <w:rFonts w:asciiTheme="majorBidi" w:hAnsiTheme="majorBidi" w:cstheme="majorBidi"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C0985">
        <w:rPr>
          <w:rFonts w:asciiTheme="majorBidi" w:hAnsiTheme="majorBidi" w:cstheme="majorBidi"/>
          <w:sz w:val="24"/>
          <w:szCs w:val="24"/>
        </w:rPr>
        <w:t xml:space="preserve">C480G </w:t>
      </w:r>
      <w:r w:rsidR="00A92D35">
        <w:rPr>
          <w:rFonts w:asciiTheme="majorBidi" w:hAnsiTheme="majorBidi" w:cstheme="majorBidi"/>
          <w:sz w:val="24"/>
          <w:szCs w:val="24"/>
        </w:rPr>
        <w:t>polymorphism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52327">
        <w:rPr>
          <w:rFonts w:asciiTheme="majorBidi" w:hAnsiTheme="majorBidi" w:cstheme="majorBidi"/>
          <w:sz w:val="24"/>
          <w:szCs w:val="24"/>
        </w:rPr>
        <w:t>and</w:t>
      </w:r>
      <w:r w:rsidR="00876C29">
        <w:rPr>
          <w:rFonts w:asciiTheme="majorBidi" w:hAnsiTheme="majorBidi" w:cstheme="majorBidi"/>
          <w:sz w:val="24"/>
          <w:szCs w:val="24"/>
        </w:rPr>
        <w:t xml:space="preserve"> </w:t>
      </w:r>
      <w:r w:rsidRPr="00DC0985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arly </w:t>
      </w:r>
      <w:r w:rsidRPr="00DC0985">
        <w:rPr>
          <w:rFonts w:asciiTheme="majorBidi" w:hAnsiTheme="majorBidi" w:cstheme="majorBidi"/>
          <w:sz w:val="24"/>
          <w:szCs w:val="24"/>
        </w:rPr>
        <w:t>M</w:t>
      </w:r>
      <w:r>
        <w:rPr>
          <w:rFonts w:asciiTheme="majorBidi" w:hAnsiTheme="majorBidi" w:cstheme="majorBidi"/>
          <w:sz w:val="24"/>
          <w:szCs w:val="24"/>
        </w:rPr>
        <w:t xml:space="preserve">olecular </w:t>
      </w:r>
      <w:r w:rsidRPr="00DC0985">
        <w:rPr>
          <w:rFonts w:asciiTheme="majorBidi" w:hAnsiTheme="majorBidi" w:cstheme="majorBidi"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>esponse (</w:t>
      </w:r>
      <w:r w:rsidRPr="006105BE">
        <w:rPr>
          <w:rFonts w:ascii="Times New Roman" w:eastAsia="Calibri" w:hAnsi="Times New Roman" w:cs="Times New Roman"/>
        </w:rPr>
        <w:t>χ</w:t>
      </w:r>
      <w:r w:rsidRPr="00AC525C">
        <w:rPr>
          <w:rFonts w:ascii="Times New Roman" w:eastAsia="Calibri" w:hAnsi="Times New Roman" w:cs="Times New Roman"/>
          <w:vertAlign w:val="superscript"/>
        </w:rPr>
        <w:t>2</w:t>
      </w:r>
      <w:r>
        <w:rPr>
          <w:rFonts w:ascii="Times New Roman" w:eastAsia="Calibri" w:hAnsi="Times New Roman" w:cs="Times New Roman"/>
        </w:rPr>
        <w:t>=0.089,</w:t>
      </w:r>
      <w:r>
        <w:rPr>
          <w:rFonts w:asciiTheme="majorBidi" w:hAnsiTheme="majorBidi" w:cstheme="majorBidi"/>
          <w:sz w:val="24"/>
          <w:szCs w:val="24"/>
        </w:rPr>
        <w:t xml:space="preserve"> p=0.765). </w:t>
      </w:r>
    </w:p>
    <w:p w:rsidR="00E52327" w:rsidRDefault="00A65B09" w:rsidP="00A40E8D">
      <w:pPr>
        <w:spacing w:before="80" w:after="4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A51F9">
        <w:rPr>
          <w:rFonts w:asciiTheme="majorBidi" w:hAnsiTheme="majorBidi" w:cstheme="majorBidi"/>
          <w:b/>
          <w:bCs/>
          <w:sz w:val="24"/>
          <w:szCs w:val="24"/>
        </w:rPr>
        <w:t>Conclusions</w:t>
      </w:r>
      <w:r w:rsidR="00B87EB9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hoct</w:t>
      </w:r>
      <w:r w:rsidRPr="00E6174C">
        <w:rPr>
          <w:rFonts w:asciiTheme="majorBidi" w:hAnsiTheme="majorBidi" w:cstheme="majorBidi"/>
          <w:i/>
          <w:iCs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C480G polymorphism </w:t>
      </w:r>
      <w:r w:rsidR="00E52327">
        <w:rPr>
          <w:rFonts w:asciiTheme="majorBidi" w:hAnsiTheme="majorBidi" w:cstheme="majorBidi"/>
          <w:sz w:val="24"/>
          <w:szCs w:val="24"/>
        </w:rPr>
        <w:t xml:space="preserve">has no </w:t>
      </w:r>
      <w:r w:rsidR="00A40E8D">
        <w:rPr>
          <w:rFonts w:asciiTheme="majorBidi" w:hAnsiTheme="majorBidi" w:cstheme="majorBidi"/>
          <w:sz w:val="24"/>
          <w:szCs w:val="24"/>
        </w:rPr>
        <w:t>association</w:t>
      </w:r>
      <w:r w:rsidR="00E52327">
        <w:rPr>
          <w:rFonts w:asciiTheme="majorBidi" w:hAnsiTheme="majorBidi" w:cstheme="majorBidi"/>
          <w:sz w:val="24"/>
          <w:szCs w:val="24"/>
        </w:rPr>
        <w:t xml:space="preserve"> with imatinib resistance in Egyptian population. However, further studies on </w:t>
      </w:r>
      <w:r w:rsidR="00A40E8D">
        <w:rPr>
          <w:rFonts w:asciiTheme="majorBidi" w:hAnsiTheme="majorBidi" w:cstheme="majorBidi"/>
          <w:sz w:val="24"/>
          <w:szCs w:val="24"/>
        </w:rPr>
        <w:t>larger</w:t>
      </w:r>
      <w:r w:rsidR="00E52327">
        <w:rPr>
          <w:rFonts w:asciiTheme="majorBidi" w:hAnsiTheme="majorBidi" w:cstheme="majorBidi"/>
          <w:sz w:val="24"/>
          <w:szCs w:val="24"/>
        </w:rPr>
        <w:t xml:space="preserve"> number of patients are still needed to confirm this finding</w:t>
      </w:r>
      <w:r w:rsidR="00F64B57">
        <w:rPr>
          <w:rFonts w:asciiTheme="majorBidi" w:hAnsiTheme="majorBidi" w:cstheme="majorBidi"/>
          <w:sz w:val="24"/>
          <w:szCs w:val="24"/>
        </w:rPr>
        <w:t>.</w:t>
      </w:r>
    </w:p>
    <w:p w:rsidR="00354846" w:rsidRPr="00A65B09" w:rsidRDefault="00A65B09" w:rsidP="00E52327">
      <w:pPr>
        <w:spacing w:before="80" w:after="4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A65B09">
        <w:rPr>
          <w:rFonts w:asciiTheme="majorBidi" w:hAnsiTheme="majorBidi" w:cstheme="majorBidi"/>
          <w:b/>
          <w:bCs/>
          <w:sz w:val="24"/>
          <w:szCs w:val="24"/>
        </w:rPr>
        <w:lastRenderedPageBreak/>
        <w:t>Keywords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: CML, Imatinib, </w:t>
      </w:r>
      <w:r w:rsidR="00A92D35">
        <w:rPr>
          <w:rFonts w:asciiTheme="majorBidi" w:hAnsiTheme="majorBidi" w:cstheme="majorBidi"/>
          <w:sz w:val="24"/>
          <w:szCs w:val="24"/>
          <w:lang w:bidi="ar-EG"/>
        </w:rPr>
        <w:t xml:space="preserve">Egyptian,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Resistance, </w:t>
      </w:r>
      <w:r w:rsidRPr="00913D9B">
        <w:rPr>
          <w:rFonts w:asciiTheme="majorBidi" w:hAnsiTheme="majorBidi" w:cstheme="majorBidi"/>
          <w:i/>
          <w:iCs/>
          <w:sz w:val="24"/>
          <w:szCs w:val="24"/>
          <w:lang w:bidi="ar-EG"/>
        </w:rPr>
        <w:t>hoct1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C480G polymorphism.</w:t>
      </w:r>
    </w:p>
    <w:sectPr w:rsidR="00354846" w:rsidRPr="00A65B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B09"/>
    <w:rsid w:val="00062AE9"/>
    <w:rsid w:val="0029306D"/>
    <w:rsid w:val="00354846"/>
    <w:rsid w:val="0038041D"/>
    <w:rsid w:val="0039459B"/>
    <w:rsid w:val="00876C29"/>
    <w:rsid w:val="008B3AB9"/>
    <w:rsid w:val="00A40E8D"/>
    <w:rsid w:val="00A65B09"/>
    <w:rsid w:val="00A92D35"/>
    <w:rsid w:val="00AC471A"/>
    <w:rsid w:val="00B87EB9"/>
    <w:rsid w:val="00C17340"/>
    <w:rsid w:val="00E03EC0"/>
    <w:rsid w:val="00E37175"/>
    <w:rsid w:val="00E52327"/>
    <w:rsid w:val="00E73132"/>
    <w:rsid w:val="00F6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29214"/>
  <w15:docId w15:val="{B12581D8-3AF5-4FC1-849A-F29B329C7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5B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9">
    <w:name w:val="A9"/>
    <w:uiPriority w:val="99"/>
    <w:rsid w:val="00A65B09"/>
    <w:rPr>
      <w:rFonts w:cs="Cambria"/>
      <w:color w:val="000000"/>
      <w:sz w:val="18"/>
      <w:szCs w:val="18"/>
    </w:rPr>
  </w:style>
  <w:style w:type="character" w:customStyle="1" w:styleId="A1">
    <w:name w:val="A1"/>
    <w:uiPriority w:val="99"/>
    <w:rsid w:val="00A65B09"/>
    <w:rPr>
      <w:rFonts w:cs="Tw Cen MT"/>
      <w:color w:val="00000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65B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B0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2017-11-15T15:34:00Z</dcterms:created>
  <dcterms:modified xsi:type="dcterms:W3CDTF">2017-11-16T19:48:00Z</dcterms:modified>
</cp:coreProperties>
</file>