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026" w:rsidRDefault="00101026" w:rsidP="00101026">
      <w:pPr>
        <w:pStyle w:val="Default"/>
      </w:pPr>
    </w:p>
    <w:p w:rsidR="00101026" w:rsidRDefault="001F6E5F" w:rsidP="00101026">
      <w:pPr>
        <w:pStyle w:val="Default"/>
      </w:pPr>
      <w:r>
        <w:rPr>
          <w:b/>
          <w:bCs/>
        </w:rPr>
        <w:t xml:space="preserve"> </w:t>
      </w:r>
      <w:r w:rsidR="00181A20" w:rsidRPr="001F6E5F">
        <w:rPr>
          <w:bCs/>
        </w:rPr>
        <w:t xml:space="preserve">MUTATIONAL STATUS OF </w:t>
      </w:r>
      <w:proofErr w:type="gramStart"/>
      <w:r w:rsidR="00181A20" w:rsidRPr="001F6E5F">
        <w:rPr>
          <w:bCs/>
        </w:rPr>
        <w:t>IGVH</w:t>
      </w:r>
      <w:r w:rsidRPr="001F6E5F">
        <w:rPr>
          <w:bCs/>
        </w:rPr>
        <w:t xml:space="preserve">  IN</w:t>
      </w:r>
      <w:proofErr w:type="gramEnd"/>
      <w:r w:rsidRPr="001F6E5F">
        <w:rPr>
          <w:bCs/>
        </w:rPr>
        <w:t xml:space="preserve"> CORRELATION WITH</w:t>
      </w:r>
      <w:r w:rsidR="00181A20">
        <w:t xml:space="preserve"> GENETIC ABNORMALITIES OF PATIENTS WITH CHRONIC LYMPHOCYTIC LEUKEMIA IN MACEDONIA- SINGLE CENTRE EXPERIENCE  </w:t>
      </w:r>
      <w:bookmarkStart w:id="0" w:name="_GoBack"/>
      <w:bookmarkEnd w:id="0"/>
    </w:p>
    <w:p w:rsidR="00AE6B50" w:rsidRPr="005B57C6" w:rsidRDefault="00AE6B50" w:rsidP="00101026">
      <w:pPr>
        <w:pStyle w:val="Default"/>
        <w:rPr>
          <w:b/>
          <w:bCs/>
        </w:rPr>
      </w:pPr>
    </w:p>
    <w:p w:rsidR="005B57C6" w:rsidRPr="005B57C6" w:rsidRDefault="005B57C6" w:rsidP="005B57C6">
      <w:pPr>
        <w:rPr>
          <w:rFonts w:ascii="Times New Roman" w:hAnsi="Times New Roman"/>
          <w:sz w:val="24"/>
          <w:szCs w:val="24"/>
        </w:rPr>
      </w:pPr>
      <w:proofErr w:type="spellStart"/>
      <w:r w:rsidRPr="005B57C6">
        <w:rPr>
          <w:rFonts w:ascii="Times New Roman" w:hAnsi="Times New Roman"/>
          <w:sz w:val="24"/>
          <w:szCs w:val="24"/>
        </w:rPr>
        <w:t>Trajkova</w:t>
      </w:r>
      <w:proofErr w:type="spellEnd"/>
      <w:r w:rsidRPr="005B57C6">
        <w:rPr>
          <w:rFonts w:ascii="Times New Roman" w:hAnsi="Times New Roman"/>
          <w:sz w:val="24"/>
          <w:szCs w:val="24"/>
        </w:rPr>
        <w:t xml:space="preserve"> S.</w:t>
      </w:r>
      <w:r w:rsidRPr="005B57C6">
        <w:rPr>
          <w:rFonts w:ascii="Times New Roman" w:hAnsi="Times New Roman"/>
          <w:sz w:val="24"/>
          <w:szCs w:val="24"/>
          <w:vertAlign w:val="superscript"/>
        </w:rPr>
        <w:t>1</w:t>
      </w:r>
      <w:r w:rsidRPr="005B57C6">
        <w:rPr>
          <w:rFonts w:ascii="Times New Roman" w:hAnsi="Times New Roman"/>
          <w:sz w:val="24"/>
          <w:szCs w:val="24"/>
        </w:rPr>
        <w:t xml:space="preserve">, </w:t>
      </w:r>
      <w:proofErr w:type="spellStart"/>
      <w:r w:rsidRPr="005B57C6">
        <w:rPr>
          <w:rFonts w:ascii="Times New Roman" w:hAnsi="Times New Roman"/>
          <w:sz w:val="24"/>
          <w:szCs w:val="24"/>
        </w:rPr>
        <w:t>Cevreska</w:t>
      </w:r>
      <w:proofErr w:type="spellEnd"/>
      <w:r w:rsidRPr="005B57C6">
        <w:rPr>
          <w:rFonts w:ascii="Times New Roman" w:hAnsi="Times New Roman"/>
          <w:sz w:val="24"/>
          <w:szCs w:val="24"/>
        </w:rPr>
        <w:t xml:space="preserve"> L</w:t>
      </w:r>
      <w:r w:rsidRPr="005B57C6">
        <w:rPr>
          <w:rFonts w:ascii="Times New Roman" w:hAnsi="Times New Roman"/>
          <w:sz w:val="24"/>
          <w:szCs w:val="24"/>
          <w:vertAlign w:val="superscript"/>
        </w:rPr>
        <w:t>1</w:t>
      </w:r>
      <w:proofErr w:type="gramStart"/>
      <w:r w:rsidRPr="005B57C6">
        <w:rPr>
          <w:rFonts w:ascii="Times New Roman" w:hAnsi="Times New Roman"/>
          <w:sz w:val="24"/>
          <w:szCs w:val="24"/>
        </w:rPr>
        <w:t>,Dimovski</w:t>
      </w:r>
      <w:proofErr w:type="gramEnd"/>
      <w:r w:rsidRPr="005B57C6">
        <w:rPr>
          <w:rFonts w:ascii="Times New Roman" w:hAnsi="Times New Roman"/>
          <w:sz w:val="24"/>
          <w:szCs w:val="24"/>
        </w:rPr>
        <w:t xml:space="preserve"> A. </w:t>
      </w:r>
      <w:r>
        <w:rPr>
          <w:rFonts w:ascii="Times New Roman" w:hAnsi="Times New Roman"/>
          <w:sz w:val="24"/>
          <w:szCs w:val="24"/>
          <w:vertAlign w:val="superscript"/>
        </w:rPr>
        <w:t>2</w:t>
      </w:r>
      <w:r w:rsidRPr="005B57C6">
        <w:rPr>
          <w:rFonts w:ascii="Times New Roman" w:hAnsi="Times New Roman"/>
          <w:sz w:val="24"/>
          <w:szCs w:val="24"/>
        </w:rPr>
        <w:t xml:space="preserve">,  </w:t>
      </w:r>
      <w:proofErr w:type="spellStart"/>
      <w:r w:rsidRPr="005B57C6">
        <w:rPr>
          <w:rFonts w:ascii="Times New Roman" w:hAnsi="Times New Roman"/>
          <w:sz w:val="24"/>
          <w:szCs w:val="24"/>
        </w:rPr>
        <w:t>Eftimov</w:t>
      </w:r>
      <w:proofErr w:type="spellEnd"/>
      <w:r w:rsidRPr="005B57C6">
        <w:rPr>
          <w:rFonts w:ascii="Times New Roman" w:hAnsi="Times New Roman"/>
          <w:sz w:val="24"/>
          <w:szCs w:val="24"/>
        </w:rPr>
        <w:t xml:space="preserve"> A</w:t>
      </w:r>
      <w:r>
        <w:rPr>
          <w:rFonts w:ascii="Times New Roman" w:hAnsi="Times New Roman"/>
          <w:sz w:val="24"/>
          <w:szCs w:val="24"/>
          <w:vertAlign w:val="superscript"/>
        </w:rPr>
        <w:t>3</w:t>
      </w:r>
      <w:r w:rsidRPr="005B57C6">
        <w:rPr>
          <w:rFonts w:ascii="Times New Roman" w:hAnsi="Times New Roman"/>
          <w:sz w:val="24"/>
          <w:szCs w:val="24"/>
        </w:rPr>
        <w:t xml:space="preserve">., </w:t>
      </w:r>
      <w:proofErr w:type="spellStart"/>
      <w:r w:rsidRPr="005B57C6">
        <w:rPr>
          <w:rFonts w:ascii="Times New Roman" w:hAnsi="Times New Roman"/>
          <w:sz w:val="24"/>
          <w:szCs w:val="24"/>
        </w:rPr>
        <w:t>Popova</w:t>
      </w:r>
      <w:proofErr w:type="spellEnd"/>
      <w:r w:rsidRPr="005B57C6">
        <w:rPr>
          <w:rFonts w:ascii="Times New Roman" w:hAnsi="Times New Roman"/>
          <w:sz w:val="24"/>
          <w:szCs w:val="24"/>
        </w:rPr>
        <w:t xml:space="preserve"> –</w:t>
      </w:r>
      <w:proofErr w:type="spellStart"/>
      <w:r w:rsidRPr="005B57C6">
        <w:rPr>
          <w:rFonts w:ascii="Times New Roman" w:hAnsi="Times New Roman"/>
          <w:sz w:val="24"/>
          <w:szCs w:val="24"/>
        </w:rPr>
        <w:t>LabacevskaM</w:t>
      </w:r>
      <w:proofErr w:type="spellEnd"/>
      <w:r w:rsidRPr="005B57C6">
        <w:rPr>
          <w:rFonts w:ascii="Times New Roman" w:hAnsi="Times New Roman"/>
          <w:sz w:val="24"/>
          <w:szCs w:val="24"/>
        </w:rPr>
        <w:t>.</w:t>
      </w:r>
      <w:r w:rsidRPr="005B57C6">
        <w:rPr>
          <w:rFonts w:ascii="Times New Roman" w:hAnsi="Times New Roman"/>
          <w:sz w:val="24"/>
          <w:szCs w:val="24"/>
          <w:vertAlign w:val="superscript"/>
        </w:rPr>
        <w:t xml:space="preserve"> 1</w:t>
      </w:r>
      <w:r w:rsidR="00AE6B50" w:rsidRPr="00AE6B50">
        <w:rPr>
          <w:rFonts w:ascii="Times New Roman" w:hAnsi="Times New Roman"/>
          <w:sz w:val="24"/>
          <w:szCs w:val="24"/>
        </w:rPr>
        <w:t>,</w:t>
      </w:r>
      <w:r w:rsidRPr="00AE6B50">
        <w:rPr>
          <w:rFonts w:ascii="Times New Roman" w:hAnsi="Times New Roman"/>
          <w:sz w:val="24"/>
          <w:szCs w:val="24"/>
        </w:rPr>
        <w:t xml:space="preserve"> </w:t>
      </w:r>
      <w:proofErr w:type="spellStart"/>
      <w:r w:rsidR="00AE6B50">
        <w:rPr>
          <w:rFonts w:ascii="Times New Roman" w:hAnsi="Times New Roman"/>
          <w:sz w:val="24"/>
          <w:szCs w:val="24"/>
        </w:rPr>
        <w:t>Ivanovski</w:t>
      </w:r>
      <w:proofErr w:type="spellEnd"/>
      <w:r w:rsidR="00AE6B50">
        <w:rPr>
          <w:rFonts w:ascii="Times New Roman" w:hAnsi="Times New Roman"/>
          <w:sz w:val="24"/>
          <w:szCs w:val="24"/>
        </w:rPr>
        <w:t xml:space="preserve"> M</w:t>
      </w:r>
      <w:r w:rsidR="00AE6B50" w:rsidRPr="005B57C6">
        <w:rPr>
          <w:rFonts w:ascii="Times New Roman" w:hAnsi="Times New Roman"/>
          <w:sz w:val="24"/>
          <w:szCs w:val="24"/>
          <w:vertAlign w:val="superscript"/>
        </w:rPr>
        <w:t>1</w:t>
      </w:r>
      <w:r w:rsidR="00AE6B50">
        <w:rPr>
          <w:rFonts w:ascii="Times New Roman" w:hAnsi="Times New Roman"/>
          <w:sz w:val="24"/>
          <w:szCs w:val="24"/>
        </w:rPr>
        <w:t xml:space="preserve">. </w:t>
      </w:r>
      <w:proofErr w:type="gramStart"/>
      <w:r w:rsidRPr="005B57C6">
        <w:rPr>
          <w:rFonts w:ascii="Times New Roman" w:hAnsi="Times New Roman"/>
          <w:sz w:val="24"/>
          <w:szCs w:val="24"/>
        </w:rPr>
        <w:t xml:space="preserve">and  </w:t>
      </w:r>
      <w:proofErr w:type="spellStart"/>
      <w:r w:rsidRPr="005B57C6">
        <w:rPr>
          <w:rFonts w:ascii="Times New Roman" w:hAnsi="Times New Roman"/>
          <w:sz w:val="24"/>
          <w:szCs w:val="24"/>
        </w:rPr>
        <w:t>Panovska</w:t>
      </w:r>
      <w:proofErr w:type="gramEnd"/>
      <w:r w:rsidRPr="005B57C6">
        <w:rPr>
          <w:rFonts w:ascii="Times New Roman" w:hAnsi="Times New Roman"/>
          <w:sz w:val="24"/>
          <w:szCs w:val="24"/>
        </w:rPr>
        <w:t>-Stavridis</w:t>
      </w:r>
      <w:proofErr w:type="spellEnd"/>
      <w:r w:rsidRPr="005B57C6">
        <w:rPr>
          <w:rFonts w:ascii="Times New Roman" w:hAnsi="Times New Roman"/>
          <w:sz w:val="24"/>
          <w:szCs w:val="24"/>
        </w:rPr>
        <w:t xml:space="preserve"> I.</w:t>
      </w:r>
      <w:r w:rsidRPr="005B57C6">
        <w:rPr>
          <w:rFonts w:ascii="Times New Roman" w:hAnsi="Times New Roman"/>
          <w:sz w:val="24"/>
          <w:szCs w:val="24"/>
          <w:vertAlign w:val="superscript"/>
        </w:rPr>
        <w:t xml:space="preserve"> 1</w:t>
      </w:r>
    </w:p>
    <w:p w:rsidR="005B57C6" w:rsidRPr="005B57C6" w:rsidRDefault="005B57C6" w:rsidP="005B57C6">
      <w:pPr>
        <w:rPr>
          <w:rFonts w:ascii="Times New Roman" w:hAnsi="Times New Roman" w:cs="Times New Roman"/>
          <w:sz w:val="24"/>
          <w:szCs w:val="24"/>
        </w:rPr>
      </w:pPr>
      <w:r w:rsidRPr="005B57C6">
        <w:rPr>
          <w:rFonts w:ascii="Times New Roman" w:hAnsi="Times New Roman" w:cs="Times New Roman"/>
          <w:sz w:val="24"/>
          <w:szCs w:val="24"/>
        </w:rPr>
        <w:t>University Clinic for Hematology</w:t>
      </w:r>
      <w:r w:rsidRPr="005B57C6">
        <w:rPr>
          <w:rFonts w:ascii="Times New Roman" w:hAnsi="Times New Roman" w:cs="Times New Roman"/>
          <w:sz w:val="24"/>
          <w:szCs w:val="24"/>
          <w:vertAlign w:val="superscript"/>
        </w:rPr>
        <w:t>1</w:t>
      </w:r>
      <w:r w:rsidRPr="005B57C6">
        <w:rPr>
          <w:rFonts w:ascii="Times New Roman" w:hAnsi="Times New Roman" w:cs="Times New Roman"/>
          <w:sz w:val="24"/>
          <w:szCs w:val="24"/>
        </w:rPr>
        <w:t xml:space="preserve">, </w:t>
      </w:r>
      <w:r w:rsidRPr="005B57C6">
        <w:rPr>
          <w:rFonts w:ascii="Times New Roman" w:hAnsi="Times New Roman" w:cs="Times New Roman"/>
        </w:rPr>
        <w:t xml:space="preserve">Center for </w:t>
      </w:r>
      <w:proofErr w:type="spellStart"/>
      <w:r w:rsidRPr="005B57C6">
        <w:rPr>
          <w:rFonts w:ascii="Times New Roman" w:hAnsi="Times New Roman" w:cs="Times New Roman"/>
        </w:rPr>
        <w:t>Biomolecular</w:t>
      </w:r>
      <w:proofErr w:type="spellEnd"/>
      <w:r w:rsidRPr="005B57C6">
        <w:rPr>
          <w:rFonts w:ascii="Times New Roman" w:hAnsi="Times New Roman" w:cs="Times New Roman"/>
        </w:rPr>
        <w:t xml:space="preserve"> Pharmaceutical Analyses, Faculty of Pharmacy</w:t>
      </w:r>
      <w:r w:rsidRPr="005B57C6">
        <w:rPr>
          <w:rFonts w:ascii="Times New Roman" w:hAnsi="Times New Roman" w:cs="Times New Roman"/>
          <w:sz w:val="24"/>
          <w:szCs w:val="24"/>
          <w:vertAlign w:val="superscript"/>
        </w:rPr>
        <w:t>2</w:t>
      </w:r>
      <w:proofErr w:type="gramStart"/>
      <w:r w:rsidRPr="005B57C6">
        <w:rPr>
          <w:rFonts w:ascii="Times New Roman" w:hAnsi="Times New Roman" w:cs="Times New Roman"/>
        </w:rPr>
        <w:t>,</w:t>
      </w:r>
      <w:r w:rsidRPr="005B57C6">
        <w:rPr>
          <w:rFonts w:ascii="Times New Roman" w:hAnsi="Times New Roman" w:cs="Times New Roman"/>
          <w:sz w:val="24"/>
          <w:szCs w:val="24"/>
        </w:rPr>
        <w:t>Institute</w:t>
      </w:r>
      <w:proofErr w:type="gramEnd"/>
      <w:r w:rsidRPr="005B57C6">
        <w:rPr>
          <w:rFonts w:ascii="Times New Roman" w:hAnsi="Times New Roman" w:cs="Times New Roman"/>
          <w:sz w:val="24"/>
          <w:szCs w:val="24"/>
        </w:rPr>
        <w:t xml:space="preserve"> of Pathology</w:t>
      </w:r>
      <w:r w:rsidRPr="005B57C6">
        <w:rPr>
          <w:rFonts w:ascii="Times New Roman" w:hAnsi="Times New Roman" w:cs="Times New Roman"/>
          <w:sz w:val="24"/>
          <w:szCs w:val="24"/>
          <w:vertAlign w:val="superscript"/>
        </w:rPr>
        <w:t>3</w:t>
      </w:r>
      <w:r w:rsidRPr="005B57C6">
        <w:rPr>
          <w:rFonts w:ascii="Times New Roman" w:hAnsi="Times New Roman" w:cs="Times New Roman"/>
          <w:sz w:val="24"/>
          <w:szCs w:val="24"/>
        </w:rPr>
        <w:t xml:space="preserve">, Medical Faculty, Skopje, Macedonia </w:t>
      </w:r>
    </w:p>
    <w:p w:rsidR="005B57C6" w:rsidRPr="005B57C6" w:rsidRDefault="005B57C6" w:rsidP="00101026">
      <w:pPr>
        <w:pStyle w:val="Default"/>
      </w:pPr>
    </w:p>
    <w:p w:rsidR="00795AA1" w:rsidRPr="005B57C6" w:rsidRDefault="00101026" w:rsidP="005B57C6">
      <w:pPr>
        <w:autoSpaceDE w:val="0"/>
        <w:autoSpaceDN w:val="0"/>
        <w:adjustRightInd w:val="0"/>
        <w:spacing w:after="0" w:line="240" w:lineRule="auto"/>
        <w:jc w:val="both"/>
        <w:rPr>
          <w:rFonts w:ascii="Times New Roman" w:hAnsi="Times New Roman" w:cs="Times New Roman"/>
          <w:sz w:val="24"/>
          <w:szCs w:val="24"/>
        </w:rPr>
      </w:pPr>
      <w:r w:rsidRPr="005B57C6">
        <w:rPr>
          <w:rFonts w:ascii="Times New Roman" w:hAnsi="Times New Roman" w:cs="Times New Roman"/>
          <w:b/>
          <w:bCs/>
          <w:sz w:val="24"/>
          <w:szCs w:val="24"/>
        </w:rPr>
        <w:t xml:space="preserve">Background: </w:t>
      </w:r>
      <w:r w:rsidRPr="005B57C6">
        <w:rPr>
          <w:rFonts w:ascii="Times New Roman" w:hAnsi="Times New Roman" w:cs="Times New Roman"/>
          <w:sz w:val="24"/>
          <w:szCs w:val="24"/>
        </w:rPr>
        <w:t xml:space="preserve">B-cell chronic lymphocytic leukemia (CLL) is a clinically heterogeneous disease with many patients surviving for decades with watch and wait strategy or no treatment, whereas others </w:t>
      </w:r>
      <w:r w:rsidR="00F90283" w:rsidRPr="005B57C6">
        <w:rPr>
          <w:rFonts w:ascii="Times New Roman" w:hAnsi="Times New Roman" w:cs="Times New Roman"/>
          <w:sz w:val="24"/>
          <w:szCs w:val="24"/>
        </w:rPr>
        <w:t xml:space="preserve">have inferior survival </w:t>
      </w:r>
      <w:r w:rsidRPr="005B57C6">
        <w:rPr>
          <w:rFonts w:ascii="Times New Roman" w:hAnsi="Times New Roman" w:cs="Times New Roman"/>
          <w:sz w:val="24"/>
          <w:szCs w:val="24"/>
        </w:rPr>
        <w:t xml:space="preserve">despite therapy. In recent years, new molecular prognostic factors approached   that have significantly improved the stratification of the CLL patients. One of the most important molecular predictors, the immunoglobulin VH gene mutational status, divides CLL into two prognostic groups, where </w:t>
      </w:r>
      <w:proofErr w:type="spellStart"/>
      <w:r w:rsidRPr="005B57C6">
        <w:rPr>
          <w:rFonts w:ascii="Times New Roman" w:hAnsi="Times New Roman" w:cs="Times New Roman"/>
          <w:sz w:val="24"/>
          <w:szCs w:val="24"/>
        </w:rPr>
        <w:t>unmutated</w:t>
      </w:r>
      <w:proofErr w:type="spellEnd"/>
      <w:r w:rsidRPr="005B57C6">
        <w:rPr>
          <w:rFonts w:ascii="Times New Roman" w:hAnsi="Times New Roman" w:cs="Times New Roman"/>
          <w:sz w:val="24"/>
          <w:szCs w:val="24"/>
        </w:rPr>
        <w:t xml:space="preserve"> U-CLL are associated with remarkably worse prognosis than mutated M-CLL.</w:t>
      </w:r>
      <w:r w:rsidR="00743302" w:rsidRPr="005B57C6">
        <w:rPr>
          <w:rFonts w:ascii="Times New Roman" w:hAnsi="Times New Roman" w:cs="Times New Roman"/>
          <w:sz w:val="24"/>
          <w:szCs w:val="24"/>
        </w:rPr>
        <w:t xml:space="preserve"> In many studies multiple recurring chromosomal aberrations appear to be effective prognostic markers in CLL. The most common abnormalities include 11q deletions,</w:t>
      </w:r>
      <w:r w:rsidR="00F90283" w:rsidRPr="005B57C6">
        <w:rPr>
          <w:rFonts w:ascii="Times New Roman" w:hAnsi="Times New Roman" w:cs="Times New Roman"/>
          <w:sz w:val="24"/>
          <w:szCs w:val="24"/>
        </w:rPr>
        <w:t xml:space="preserve"> </w:t>
      </w:r>
      <w:r w:rsidR="00743302" w:rsidRPr="005B57C6">
        <w:rPr>
          <w:rFonts w:ascii="Times New Roman" w:hAnsi="Times New Roman" w:cs="Times New Roman"/>
          <w:sz w:val="24"/>
          <w:szCs w:val="24"/>
        </w:rPr>
        <w:t>trisomy 12, 17p deletions and 13q deletions.</w:t>
      </w:r>
      <w:r w:rsidRPr="005B57C6">
        <w:rPr>
          <w:rFonts w:ascii="Times New Roman" w:hAnsi="Times New Roman" w:cs="Times New Roman"/>
          <w:sz w:val="24"/>
          <w:szCs w:val="24"/>
        </w:rPr>
        <w:t xml:space="preserve"> </w:t>
      </w:r>
    </w:p>
    <w:p w:rsidR="00101026" w:rsidRPr="005B57C6" w:rsidRDefault="00101026" w:rsidP="005B57C6">
      <w:pPr>
        <w:autoSpaceDE w:val="0"/>
        <w:autoSpaceDN w:val="0"/>
        <w:adjustRightInd w:val="0"/>
        <w:spacing w:after="0" w:line="240" w:lineRule="auto"/>
        <w:jc w:val="both"/>
        <w:rPr>
          <w:rFonts w:ascii="Times New Roman" w:hAnsi="Times New Roman" w:cs="Times New Roman"/>
          <w:sz w:val="24"/>
          <w:szCs w:val="24"/>
        </w:rPr>
      </w:pPr>
      <w:r w:rsidRPr="005B57C6">
        <w:rPr>
          <w:rFonts w:ascii="Times New Roman" w:hAnsi="Times New Roman" w:cs="Times New Roman"/>
          <w:sz w:val="24"/>
          <w:szCs w:val="24"/>
        </w:rPr>
        <w:t xml:space="preserve">The aim of the study was </w:t>
      </w:r>
      <w:r w:rsidR="00B529FF" w:rsidRPr="005B57C6">
        <w:rPr>
          <w:rFonts w:ascii="Times New Roman" w:hAnsi="Times New Roman" w:cs="Times New Roman"/>
          <w:sz w:val="24"/>
          <w:szCs w:val="24"/>
        </w:rPr>
        <w:t xml:space="preserve">first time </w:t>
      </w:r>
      <w:r w:rsidRPr="005B57C6">
        <w:rPr>
          <w:rFonts w:ascii="Times New Roman" w:hAnsi="Times New Roman" w:cs="Times New Roman"/>
          <w:sz w:val="24"/>
          <w:szCs w:val="24"/>
        </w:rPr>
        <w:t>evaluation of rearrangement of IG genes</w:t>
      </w:r>
      <w:r w:rsidR="00743302" w:rsidRPr="005B57C6">
        <w:rPr>
          <w:rFonts w:ascii="Times New Roman" w:hAnsi="Times New Roman" w:cs="Times New Roman"/>
          <w:sz w:val="24"/>
          <w:szCs w:val="24"/>
        </w:rPr>
        <w:t xml:space="preserve"> and </w:t>
      </w:r>
      <w:r w:rsidR="00B529FF" w:rsidRPr="005B57C6">
        <w:rPr>
          <w:rFonts w:ascii="Times New Roman" w:hAnsi="Times New Roman" w:cs="Times New Roman"/>
          <w:sz w:val="24"/>
          <w:szCs w:val="24"/>
        </w:rPr>
        <w:t xml:space="preserve">genetic abnormalities </w:t>
      </w:r>
      <w:r w:rsidRPr="005B57C6">
        <w:rPr>
          <w:rFonts w:ascii="Times New Roman" w:hAnsi="Times New Roman" w:cs="Times New Roman"/>
          <w:sz w:val="24"/>
          <w:szCs w:val="24"/>
        </w:rPr>
        <w:t>in Macedonian CLL patients</w:t>
      </w:r>
      <w:r w:rsidR="00B529FF" w:rsidRPr="005B57C6">
        <w:rPr>
          <w:rFonts w:ascii="Times New Roman" w:hAnsi="Times New Roman" w:cs="Times New Roman"/>
          <w:sz w:val="24"/>
          <w:szCs w:val="24"/>
        </w:rPr>
        <w:t>.</w:t>
      </w:r>
      <w:r w:rsidRPr="005B57C6">
        <w:rPr>
          <w:rFonts w:ascii="Times New Roman" w:hAnsi="Times New Roman" w:cs="Times New Roman"/>
          <w:sz w:val="24"/>
          <w:szCs w:val="24"/>
        </w:rPr>
        <w:t xml:space="preserve"> </w:t>
      </w:r>
      <w:r w:rsidR="00B529FF" w:rsidRPr="005B57C6">
        <w:rPr>
          <w:rFonts w:ascii="Times New Roman" w:hAnsi="Times New Roman" w:cs="Times New Roman"/>
          <w:sz w:val="24"/>
          <w:szCs w:val="24"/>
        </w:rPr>
        <w:t xml:space="preserve"> </w:t>
      </w:r>
    </w:p>
    <w:p w:rsidR="00101026" w:rsidRPr="005B57C6" w:rsidRDefault="00101026" w:rsidP="005B57C6">
      <w:pPr>
        <w:pStyle w:val="Default"/>
        <w:jc w:val="both"/>
      </w:pPr>
      <w:r w:rsidRPr="005B57C6">
        <w:rPr>
          <w:b/>
          <w:bCs/>
        </w:rPr>
        <w:t xml:space="preserve">Methods: </w:t>
      </w:r>
      <w:r w:rsidRPr="005B57C6">
        <w:t xml:space="preserve">In this study, mutational status and configuration of IGHV-IGHD-IGHJ rearrangements in 70 treatment naïve CLL patients were analyzed using reverse transcriptase– polymerase chain reaction (RT-PCR) and sequencing methodology at the center for bimolecular pharmaceutical analyses, faculty of pharmacy, Skopje, Macedonia. </w:t>
      </w:r>
      <w:r w:rsidR="008944FD" w:rsidRPr="005B57C6">
        <w:t xml:space="preserve">We used </w:t>
      </w:r>
      <w:r w:rsidR="00B529FF" w:rsidRPr="005B57C6">
        <w:t xml:space="preserve">multiplex ligation-dependent probe amplification (MLPA) for detection of most </w:t>
      </w:r>
      <w:r w:rsidR="008944FD" w:rsidRPr="005B57C6">
        <w:t>common</w:t>
      </w:r>
      <w:r w:rsidR="00B529FF" w:rsidRPr="005B57C6">
        <w:t xml:space="preserve"> genetic abnormalities</w:t>
      </w:r>
      <w:r w:rsidR="008944FD" w:rsidRPr="005B57C6">
        <w:t>.</w:t>
      </w:r>
      <w:r w:rsidR="00B529FF" w:rsidRPr="005B57C6">
        <w:t xml:space="preserve">  </w:t>
      </w:r>
    </w:p>
    <w:p w:rsidR="00101026" w:rsidRPr="005B57C6" w:rsidRDefault="00101026" w:rsidP="005B57C6">
      <w:pPr>
        <w:pStyle w:val="Default"/>
        <w:jc w:val="both"/>
      </w:pPr>
      <w:r w:rsidRPr="005B57C6">
        <w:rPr>
          <w:b/>
          <w:bCs/>
        </w:rPr>
        <w:t xml:space="preserve">Results: </w:t>
      </w:r>
      <w:r w:rsidRPr="005B57C6">
        <w:t>Our evaluation have</w:t>
      </w:r>
      <w:r w:rsidR="009653B0" w:rsidRPr="005B57C6">
        <w:t xml:space="preserve"> shown that 54.7</w:t>
      </w:r>
      <w:r w:rsidRPr="005B57C6">
        <w:t>% patients belonged</w:t>
      </w:r>
      <w:r w:rsidR="009653B0" w:rsidRPr="005B57C6">
        <w:t xml:space="preserve"> to the U-CLL subset, whereas 45.3</w:t>
      </w:r>
      <w:r w:rsidRPr="005B57C6">
        <w:t>% belonged to the M-CLL subset. The most frequently express</w:t>
      </w:r>
      <w:r w:rsidR="009653B0" w:rsidRPr="005B57C6">
        <w:t>ed IGHV subgroup was IGHV3 (40%), followed by IGHV4 (29</w:t>
      </w:r>
      <w:r w:rsidRPr="005B57C6">
        <w:t>%),</w:t>
      </w:r>
      <w:r w:rsidR="009653B0" w:rsidRPr="005B57C6">
        <w:t xml:space="preserve"> </w:t>
      </w:r>
      <w:proofErr w:type="gramStart"/>
      <w:r w:rsidR="009653B0" w:rsidRPr="005B57C6">
        <w:t>IGHV1(</w:t>
      </w:r>
      <w:proofErr w:type="gramEnd"/>
      <w:r w:rsidR="009653B0" w:rsidRPr="005B57C6">
        <w:t xml:space="preserve">27%) and </w:t>
      </w:r>
      <w:r w:rsidRPr="005B57C6">
        <w:t xml:space="preserve"> IGHV5 (</w:t>
      </w:r>
      <w:r w:rsidR="00A35F8D" w:rsidRPr="005B57C6">
        <w:t>3</w:t>
      </w:r>
      <w:r w:rsidRPr="005B57C6">
        <w:t xml:space="preserve">%). </w:t>
      </w:r>
      <w:r w:rsidR="00FB5D1F" w:rsidRPr="005B57C6">
        <w:t xml:space="preserve"> The most </w:t>
      </w:r>
      <w:r w:rsidR="00F755B9" w:rsidRPr="005B57C6">
        <w:t>frequent</w:t>
      </w:r>
      <w:r w:rsidR="00FB5D1F" w:rsidRPr="005B57C6">
        <w:t xml:space="preserve"> subgroup with 8% were</w:t>
      </w:r>
      <w:r w:rsidR="00FB5D1F" w:rsidRPr="005B57C6">
        <w:rPr>
          <w:rFonts w:ascii="Arial" w:eastAsiaTheme="minorEastAsia" w:hAnsi="Arial" w:cstheme="minorBidi"/>
          <w:b/>
          <w:bCs/>
          <w:color w:val="000000" w:themeColor="text1"/>
          <w:kern w:val="24"/>
          <w:lang w:val="en-US"/>
        </w:rPr>
        <w:t xml:space="preserve"> </w:t>
      </w:r>
      <w:r w:rsidR="00FB5D1F" w:rsidRPr="005B57C6">
        <w:rPr>
          <w:rFonts w:eastAsiaTheme="minorEastAsia"/>
          <w:bCs/>
          <w:color w:val="000000" w:themeColor="text1"/>
          <w:kern w:val="24"/>
          <w:lang w:val="en-US"/>
        </w:rPr>
        <w:t>IGHV1-69*13</w:t>
      </w:r>
      <w:r w:rsidR="00FB5D1F" w:rsidRPr="005B57C6">
        <w:rPr>
          <w:rFonts w:eastAsiaTheme="minorEastAsia"/>
          <w:bCs/>
          <w:color w:val="000000" w:themeColor="text1"/>
          <w:kern w:val="24"/>
        </w:rPr>
        <w:t xml:space="preserve"> and </w:t>
      </w:r>
      <w:r w:rsidR="00FB5D1F" w:rsidRPr="005B57C6">
        <w:rPr>
          <w:rFonts w:eastAsiaTheme="minorEastAsia"/>
          <w:bCs/>
          <w:color w:val="000000" w:themeColor="text1"/>
          <w:kern w:val="24"/>
          <w:lang w:val="en-US"/>
        </w:rPr>
        <w:t xml:space="preserve">IGHV4-34*0. </w:t>
      </w:r>
      <w:r w:rsidR="00FB5D1F" w:rsidRPr="005B57C6">
        <w:t xml:space="preserve"> </w:t>
      </w:r>
      <w:r w:rsidRPr="005B57C6">
        <w:t>In the IGHD and IGHJ sets most frequently expressed was IGHD3</w:t>
      </w:r>
      <w:r w:rsidR="00F755B9" w:rsidRPr="005B57C6">
        <w:t xml:space="preserve"> </w:t>
      </w:r>
      <w:r w:rsidR="00A35F8D" w:rsidRPr="005B57C6">
        <w:t>(59.7%), IGHJ6 gene (53</w:t>
      </w:r>
      <w:r w:rsidRPr="005B57C6">
        <w:t>.1%) respectively.</w:t>
      </w:r>
      <w:r w:rsidR="00EB4369" w:rsidRPr="005B57C6">
        <w:t xml:space="preserve"> </w:t>
      </w:r>
      <w:r w:rsidR="00F755B9" w:rsidRPr="005B57C6">
        <w:t xml:space="preserve">We found that 80% of   IGHV1, 65.6% of IGHD3 and 83.3% of IGHJ6 gene were U-CLL </w:t>
      </w:r>
      <w:r w:rsidR="00F755B9" w:rsidRPr="005B57C6">
        <w:rPr>
          <w:color w:val="auto"/>
        </w:rPr>
        <w:t>(</w:t>
      </w:r>
      <w:r w:rsidR="00F755B9" w:rsidRPr="005B57C6">
        <w:rPr>
          <w:rFonts w:eastAsiaTheme="minorEastAsia"/>
          <w:bCs/>
          <w:color w:val="auto"/>
          <w:kern w:val="24"/>
          <w:lang w:val="mk-MK"/>
        </w:rPr>
        <w:t>p=0.0005</w:t>
      </w:r>
      <w:r w:rsidR="00F755B9" w:rsidRPr="005B57C6">
        <w:rPr>
          <w:rFonts w:eastAsiaTheme="minorEastAsia"/>
          <w:bCs/>
          <w:color w:val="auto"/>
          <w:kern w:val="24"/>
        </w:rPr>
        <w:t>)</w:t>
      </w:r>
      <w:r w:rsidR="00F755B9" w:rsidRPr="005B57C6">
        <w:t>.</w:t>
      </w:r>
    </w:p>
    <w:p w:rsidR="00777805" w:rsidRPr="005B57C6" w:rsidRDefault="00777805" w:rsidP="005B57C6">
      <w:pPr>
        <w:spacing w:after="0" w:line="240" w:lineRule="auto"/>
        <w:jc w:val="both"/>
        <w:textAlignment w:val="baseline"/>
        <w:rPr>
          <w:rFonts w:ascii="Times New Roman" w:eastAsia="Times New Roman" w:hAnsi="Times New Roman" w:cs="Times New Roman"/>
          <w:sz w:val="24"/>
          <w:szCs w:val="24"/>
          <w:lang w:val="en" w:eastAsia="en-CA"/>
        </w:rPr>
      </w:pPr>
      <w:r w:rsidRPr="005B57C6">
        <w:rPr>
          <w:rFonts w:ascii="Times New Roman" w:eastAsia="Times New Roman" w:hAnsi="Times New Roman" w:cs="Times New Roman"/>
          <w:sz w:val="24"/>
          <w:szCs w:val="24"/>
          <w:lang w:val="en" w:eastAsia="en-CA"/>
        </w:rPr>
        <w:t xml:space="preserve">Frequency of genetic aberrations by </w:t>
      </w:r>
      <w:proofErr w:type="gramStart"/>
      <w:r w:rsidRPr="005B57C6">
        <w:rPr>
          <w:rFonts w:ascii="Times New Roman" w:eastAsia="Times New Roman" w:hAnsi="Times New Roman" w:cs="Times New Roman"/>
          <w:sz w:val="24"/>
          <w:szCs w:val="24"/>
          <w:lang w:val="en" w:eastAsia="en-CA"/>
        </w:rPr>
        <w:t xml:space="preserve">MLPA  </w:t>
      </w:r>
      <w:r w:rsidR="00217B47" w:rsidRPr="005B57C6">
        <w:rPr>
          <w:rFonts w:ascii="Times New Roman" w:eastAsia="Times New Roman" w:hAnsi="Times New Roman" w:cs="Times New Roman"/>
          <w:sz w:val="24"/>
          <w:szCs w:val="24"/>
          <w:lang w:val="en" w:eastAsia="en-CA"/>
        </w:rPr>
        <w:t>were</w:t>
      </w:r>
      <w:proofErr w:type="gramEnd"/>
      <w:r w:rsidRPr="005B57C6">
        <w:rPr>
          <w:rFonts w:ascii="Times New Roman" w:eastAsia="Times New Roman" w:hAnsi="Times New Roman" w:cs="Times New Roman"/>
          <w:sz w:val="24"/>
          <w:szCs w:val="24"/>
          <w:lang w:val="en" w:eastAsia="en-CA"/>
        </w:rPr>
        <w:t xml:space="preserve"> 13q14 deletion (20%) </w:t>
      </w:r>
      <w:r w:rsidR="00217B47" w:rsidRPr="005B57C6">
        <w:rPr>
          <w:rFonts w:ascii="Times New Roman" w:eastAsia="Times New Roman" w:hAnsi="Times New Roman" w:cs="Times New Roman"/>
          <w:sz w:val="24"/>
          <w:szCs w:val="24"/>
          <w:lang w:val="en" w:eastAsia="en-CA"/>
        </w:rPr>
        <w:t xml:space="preserve"> </w:t>
      </w:r>
      <w:r w:rsidRPr="005B57C6">
        <w:rPr>
          <w:rFonts w:ascii="Times New Roman" w:eastAsia="Times New Roman" w:hAnsi="Times New Roman" w:cs="Times New Roman"/>
          <w:sz w:val="24"/>
          <w:szCs w:val="24"/>
          <w:lang w:val="en" w:eastAsia="en-CA"/>
        </w:rPr>
        <w:t xml:space="preserve"> follow by</w:t>
      </w:r>
      <w:r w:rsidR="00F41CDC" w:rsidRPr="005B57C6">
        <w:rPr>
          <w:rFonts w:ascii="Times New Roman" w:eastAsia="Times New Roman" w:hAnsi="Times New Roman" w:cs="Times New Roman"/>
          <w:sz w:val="24"/>
          <w:szCs w:val="24"/>
          <w:lang w:val="en" w:eastAsia="en-CA"/>
        </w:rPr>
        <w:t xml:space="preserve"> 11q deletion (14%) then </w:t>
      </w:r>
      <w:r w:rsidRPr="005B57C6">
        <w:rPr>
          <w:rFonts w:ascii="Times New Roman" w:eastAsia="Times New Roman" w:hAnsi="Times New Roman" w:cs="Times New Roman"/>
          <w:sz w:val="24"/>
          <w:szCs w:val="24"/>
          <w:lang w:val="en" w:eastAsia="en-CA"/>
        </w:rPr>
        <w:t xml:space="preserve"> trisomy 12 (</w:t>
      </w:r>
      <w:r w:rsidR="00F41CDC" w:rsidRPr="005B57C6">
        <w:rPr>
          <w:rFonts w:ascii="Times New Roman" w:eastAsia="Times New Roman" w:hAnsi="Times New Roman" w:cs="Times New Roman"/>
          <w:sz w:val="24"/>
          <w:szCs w:val="24"/>
          <w:lang w:val="en" w:eastAsia="en-CA"/>
        </w:rPr>
        <w:t>13</w:t>
      </w:r>
      <w:r w:rsidRPr="005B57C6">
        <w:rPr>
          <w:rFonts w:ascii="Times New Roman" w:eastAsia="Times New Roman" w:hAnsi="Times New Roman" w:cs="Times New Roman"/>
          <w:sz w:val="24"/>
          <w:szCs w:val="24"/>
          <w:lang w:val="en" w:eastAsia="en-CA"/>
        </w:rPr>
        <w:t>%</w:t>
      </w:r>
      <w:r w:rsidR="00217B47" w:rsidRPr="005B57C6">
        <w:rPr>
          <w:rFonts w:ascii="Times New Roman" w:eastAsia="Times New Roman" w:hAnsi="Times New Roman" w:cs="Times New Roman"/>
          <w:sz w:val="24"/>
          <w:szCs w:val="24"/>
          <w:lang w:val="en" w:eastAsia="en-CA"/>
        </w:rPr>
        <w:t>)</w:t>
      </w:r>
      <w:r w:rsidRPr="005B57C6">
        <w:rPr>
          <w:rFonts w:ascii="Times New Roman" w:eastAsia="Times New Roman" w:hAnsi="Times New Roman" w:cs="Times New Roman"/>
          <w:sz w:val="24"/>
          <w:szCs w:val="24"/>
          <w:lang w:val="en" w:eastAsia="en-CA"/>
        </w:rPr>
        <w:t>and 17p deletion (</w:t>
      </w:r>
      <w:r w:rsidR="00F41CDC" w:rsidRPr="005B57C6">
        <w:rPr>
          <w:rFonts w:ascii="Times New Roman" w:eastAsia="Times New Roman" w:hAnsi="Times New Roman" w:cs="Times New Roman"/>
          <w:sz w:val="24"/>
          <w:szCs w:val="24"/>
          <w:lang w:val="en" w:eastAsia="en-CA"/>
        </w:rPr>
        <w:t>6.6%</w:t>
      </w:r>
      <w:r w:rsidR="000B6D10" w:rsidRPr="005B57C6">
        <w:rPr>
          <w:rFonts w:ascii="Times New Roman" w:eastAsia="Times New Roman" w:hAnsi="Times New Roman" w:cs="Times New Roman"/>
          <w:sz w:val="24"/>
          <w:szCs w:val="24"/>
          <w:lang w:val="en" w:eastAsia="en-CA"/>
        </w:rPr>
        <w:t>),</w:t>
      </w:r>
      <w:proofErr w:type="spellStart"/>
      <w:r w:rsidR="000B6D10" w:rsidRPr="005B57C6">
        <w:rPr>
          <w:rFonts w:ascii="Times New Roman" w:eastAsia="Times New Roman" w:hAnsi="Times New Roman" w:cs="Times New Roman"/>
          <w:sz w:val="24"/>
          <w:szCs w:val="24"/>
          <w:lang w:val="en" w:eastAsia="en-CA"/>
        </w:rPr>
        <w:t>multipal</w:t>
      </w:r>
      <w:proofErr w:type="spellEnd"/>
      <w:r w:rsidR="000B6D10" w:rsidRPr="005B57C6">
        <w:rPr>
          <w:rFonts w:ascii="Times New Roman" w:eastAsia="Times New Roman" w:hAnsi="Times New Roman" w:cs="Times New Roman"/>
          <w:sz w:val="24"/>
          <w:szCs w:val="24"/>
          <w:lang w:val="en" w:eastAsia="en-CA"/>
        </w:rPr>
        <w:t xml:space="preserve"> mutations(6.7%) and NOTCH mutation(5.3%).</w:t>
      </w:r>
    </w:p>
    <w:p w:rsidR="000B6D10" w:rsidRPr="005B57C6" w:rsidRDefault="00101026" w:rsidP="005B57C6">
      <w:pPr>
        <w:spacing w:after="150" w:line="240" w:lineRule="auto"/>
        <w:jc w:val="both"/>
        <w:textAlignment w:val="baseline"/>
        <w:rPr>
          <w:rFonts w:ascii="Times New Roman" w:eastAsia="Times New Roman" w:hAnsi="Times New Roman" w:cs="Times New Roman"/>
          <w:sz w:val="24"/>
          <w:szCs w:val="24"/>
          <w:lang w:val="en" w:eastAsia="en-CA"/>
        </w:rPr>
      </w:pPr>
      <w:r w:rsidRPr="005B57C6">
        <w:rPr>
          <w:rFonts w:ascii="Times New Roman" w:hAnsi="Times New Roman" w:cs="Times New Roman"/>
          <w:b/>
          <w:bCs/>
          <w:sz w:val="24"/>
          <w:szCs w:val="24"/>
        </w:rPr>
        <w:t xml:space="preserve">Conclusions: </w:t>
      </w:r>
      <w:r w:rsidRPr="005B57C6">
        <w:rPr>
          <w:rFonts w:ascii="Times New Roman" w:hAnsi="Times New Roman" w:cs="Times New Roman"/>
          <w:sz w:val="24"/>
          <w:szCs w:val="24"/>
        </w:rPr>
        <w:t xml:space="preserve">Our evaluation of mutational status on IGVH, IGDH, and IGJH gene in Macedonian CLL patients resulted with data which are consubstantial to those from Mediterranean area. </w:t>
      </w:r>
      <w:r w:rsidR="000B6D10" w:rsidRPr="005B57C6">
        <w:rPr>
          <w:rFonts w:ascii="Times New Roman" w:eastAsia="Times New Roman" w:hAnsi="Times New Roman" w:cs="Times New Roman"/>
          <w:sz w:val="24"/>
          <w:szCs w:val="24"/>
          <w:lang w:val="en" w:eastAsia="en-CA"/>
        </w:rPr>
        <w:t xml:space="preserve">Novel mutations discovered in this study must be validated through large cohort studies and may offer clues to the mechanisms underlying the   difference in </w:t>
      </w:r>
      <w:proofErr w:type="gramStart"/>
      <w:r w:rsidR="000B6D10" w:rsidRPr="005B57C6">
        <w:rPr>
          <w:rFonts w:ascii="Times New Roman" w:eastAsia="Times New Roman" w:hAnsi="Times New Roman" w:cs="Times New Roman"/>
          <w:sz w:val="24"/>
          <w:szCs w:val="24"/>
          <w:lang w:val="en" w:eastAsia="en-CA"/>
        </w:rPr>
        <w:t xml:space="preserve">CLL  </w:t>
      </w:r>
      <w:r w:rsidR="00AF235C" w:rsidRPr="005B57C6">
        <w:rPr>
          <w:rFonts w:ascii="Times New Roman" w:eastAsia="Times New Roman" w:hAnsi="Times New Roman" w:cs="Times New Roman"/>
          <w:sz w:val="24"/>
          <w:szCs w:val="24"/>
          <w:lang w:val="en" w:eastAsia="en-CA"/>
        </w:rPr>
        <w:t>survival</w:t>
      </w:r>
      <w:proofErr w:type="gramEnd"/>
      <w:r w:rsidR="000B6D10" w:rsidRPr="005B57C6">
        <w:rPr>
          <w:rFonts w:ascii="Times New Roman" w:eastAsia="Times New Roman" w:hAnsi="Times New Roman" w:cs="Times New Roman"/>
          <w:sz w:val="24"/>
          <w:szCs w:val="24"/>
          <w:lang w:val="en" w:eastAsia="en-CA"/>
        </w:rPr>
        <w:t xml:space="preserve">. In the future, therapeutic strategies targeting these genes should be evaluated and considered. </w:t>
      </w:r>
      <w:r w:rsidR="00AF235C" w:rsidRPr="005B57C6">
        <w:rPr>
          <w:rFonts w:ascii="Times New Roman" w:eastAsia="Times New Roman" w:hAnsi="Times New Roman" w:cs="Times New Roman"/>
          <w:sz w:val="24"/>
          <w:szCs w:val="24"/>
          <w:lang w:val="en" w:eastAsia="en-CA"/>
        </w:rPr>
        <w:t xml:space="preserve">  T</w:t>
      </w:r>
      <w:r w:rsidR="000B6D10" w:rsidRPr="005B57C6">
        <w:rPr>
          <w:rFonts w:ascii="Times New Roman" w:eastAsia="Times New Roman" w:hAnsi="Times New Roman" w:cs="Times New Roman"/>
          <w:sz w:val="24"/>
          <w:szCs w:val="24"/>
          <w:lang w:val="en" w:eastAsia="en-CA"/>
        </w:rPr>
        <w:t xml:space="preserve">his is the </w:t>
      </w:r>
      <w:proofErr w:type="gramStart"/>
      <w:r w:rsidR="000B6D10" w:rsidRPr="005B57C6">
        <w:rPr>
          <w:rFonts w:ascii="Times New Roman" w:eastAsia="Times New Roman" w:hAnsi="Times New Roman" w:cs="Times New Roman"/>
          <w:sz w:val="24"/>
          <w:szCs w:val="24"/>
          <w:lang w:val="en" w:eastAsia="en-CA"/>
        </w:rPr>
        <w:t>first</w:t>
      </w:r>
      <w:r w:rsidR="00AF235C" w:rsidRPr="005B57C6">
        <w:rPr>
          <w:rFonts w:ascii="Times New Roman" w:eastAsia="Times New Roman" w:hAnsi="Times New Roman" w:cs="Times New Roman"/>
          <w:sz w:val="24"/>
          <w:szCs w:val="24"/>
          <w:lang w:val="en" w:eastAsia="en-CA"/>
        </w:rPr>
        <w:t xml:space="preserve"> </w:t>
      </w:r>
      <w:r w:rsidR="000B6D10" w:rsidRPr="005B57C6">
        <w:rPr>
          <w:rFonts w:ascii="Times New Roman" w:eastAsia="Times New Roman" w:hAnsi="Times New Roman" w:cs="Times New Roman"/>
          <w:sz w:val="24"/>
          <w:szCs w:val="24"/>
          <w:lang w:val="en" w:eastAsia="en-CA"/>
        </w:rPr>
        <w:t xml:space="preserve"> mutation</w:t>
      </w:r>
      <w:proofErr w:type="gramEnd"/>
      <w:r w:rsidR="000B6D10" w:rsidRPr="005B57C6">
        <w:rPr>
          <w:rFonts w:ascii="Times New Roman" w:eastAsia="Times New Roman" w:hAnsi="Times New Roman" w:cs="Times New Roman"/>
          <w:sz w:val="24"/>
          <w:szCs w:val="24"/>
          <w:lang w:val="en" w:eastAsia="en-CA"/>
        </w:rPr>
        <w:t xml:space="preserve"> analysis of CLL patients in </w:t>
      </w:r>
      <w:r w:rsidR="00AF235C" w:rsidRPr="005B57C6">
        <w:rPr>
          <w:rFonts w:ascii="Times New Roman" w:eastAsia="Times New Roman" w:hAnsi="Times New Roman" w:cs="Times New Roman"/>
          <w:sz w:val="24"/>
          <w:szCs w:val="24"/>
          <w:lang w:val="en" w:eastAsia="en-CA"/>
        </w:rPr>
        <w:t>Macedonia</w:t>
      </w:r>
      <w:r w:rsidR="000B6D10" w:rsidRPr="005B57C6">
        <w:rPr>
          <w:rFonts w:ascii="Times New Roman" w:eastAsia="Times New Roman" w:hAnsi="Times New Roman" w:cs="Times New Roman"/>
          <w:sz w:val="24"/>
          <w:szCs w:val="24"/>
          <w:lang w:val="en" w:eastAsia="en-CA"/>
        </w:rPr>
        <w:t xml:space="preserve"> using next generation sequencing.</w:t>
      </w:r>
    </w:p>
    <w:p w:rsidR="00900290" w:rsidRPr="005B57C6" w:rsidRDefault="00101026" w:rsidP="005B57C6">
      <w:pPr>
        <w:jc w:val="both"/>
        <w:rPr>
          <w:rFonts w:ascii="Times New Roman" w:hAnsi="Times New Roman" w:cs="Times New Roman"/>
          <w:sz w:val="24"/>
          <w:szCs w:val="24"/>
        </w:rPr>
      </w:pPr>
      <w:r w:rsidRPr="005B57C6">
        <w:rPr>
          <w:rFonts w:ascii="Times New Roman" w:hAnsi="Times New Roman" w:cs="Times New Roman"/>
          <w:b/>
          <w:bCs/>
          <w:sz w:val="24"/>
          <w:szCs w:val="24"/>
        </w:rPr>
        <w:t xml:space="preserve">Keywords: </w:t>
      </w:r>
      <w:r w:rsidRPr="005B57C6">
        <w:rPr>
          <w:rFonts w:ascii="Times New Roman" w:hAnsi="Times New Roman" w:cs="Times New Roman"/>
          <w:sz w:val="24"/>
          <w:szCs w:val="24"/>
        </w:rPr>
        <w:t>Chronic lymphocytic leukemia, Prognosis, Mutational status</w:t>
      </w:r>
      <w:r w:rsidR="00AF235C" w:rsidRPr="005B57C6">
        <w:rPr>
          <w:rFonts w:ascii="Times New Roman" w:hAnsi="Times New Roman" w:cs="Times New Roman"/>
          <w:sz w:val="24"/>
          <w:szCs w:val="24"/>
        </w:rPr>
        <w:t>, genetics</w:t>
      </w:r>
    </w:p>
    <w:sectPr w:rsidR="00900290" w:rsidRPr="005B57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026"/>
    <w:rsid w:val="000B6D10"/>
    <w:rsid w:val="00101026"/>
    <w:rsid w:val="00181A20"/>
    <w:rsid w:val="001F6E5F"/>
    <w:rsid w:val="00217B47"/>
    <w:rsid w:val="002A14D7"/>
    <w:rsid w:val="00372011"/>
    <w:rsid w:val="005B57C6"/>
    <w:rsid w:val="00743302"/>
    <w:rsid w:val="00777805"/>
    <w:rsid w:val="00795AA1"/>
    <w:rsid w:val="008944FD"/>
    <w:rsid w:val="00900290"/>
    <w:rsid w:val="009653B0"/>
    <w:rsid w:val="00991C19"/>
    <w:rsid w:val="00A35F8D"/>
    <w:rsid w:val="00AE6B50"/>
    <w:rsid w:val="00AF235C"/>
    <w:rsid w:val="00B529FF"/>
    <w:rsid w:val="00E51F2F"/>
    <w:rsid w:val="00EB4369"/>
    <w:rsid w:val="00F41CDC"/>
    <w:rsid w:val="00F755B9"/>
    <w:rsid w:val="00F90283"/>
    <w:rsid w:val="00FB5D1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2CCF26-4C9F-4449-A238-87B973A5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102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11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LIDIJACEVRESKA</cp:lastModifiedBy>
  <cp:revision>3</cp:revision>
  <dcterms:created xsi:type="dcterms:W3CDTF">2017-05-15T18:21:00Z</dcterms:created>
  <dcterms:modified xsi:type="dcterms:W3CDTF">2017-05-15T18:23:00Z</dcterms:modified>
</cp:coreProperties>
</file>