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F98A9" w14:textId="4C3E8F0F" w:rsidR="00AE3E37" w:rsidRDefault="006D0A24" w:rsidP="00494130">
      <w:pPr>
        <w:pStyle w:val="Ttulo1"/>
        <w:spacing w:before="170"/>
        <w:ind w:left="0"/>
      </w:pPr>
      <w:r>
        <w:rPr>
          <w:color w:val="337AB7"/>
        </w:rPr>
        <w:t>MiR-191-5p is upregulated in culture media of implanted human embryo on day 5</w:t>
      </w:r>
      <w:r w:rsidRPr="006D0A24">
        <w:rPr>
          <w:color w:val="337AB7"/>
          <w:vertAlign w:val="superscript"/>
        </w:rPr>
        <w:t>th</w:t>
      </w:r>
      <w:r>
        <w:rPr>
          <w:color w:val="337AB7"/>
        </w:rPr>
        <w:t xml:space="preserve"> of development</w:t>
      </w:r>
    </w:p>
    <w:p w14:paraId="7AF07D82" w14:textId="71C68AEB" w:rsidR="0078738A" w:rsidRDefault="0078738A" w:rsidP="005973B9">
      <w:pPr>
        <w:pStyle w:val="Textoindependiente"/>
        <w:spacing w:before="73" w:line="198" w:lineRule="exact"/>
        <w:ind w:left="100" w:right="5987"/>
        <w:rPr>
          <w:rFonts w:ascii="Arial"/>
        </w:rPr>
      </w:pPr>
      <w:r>
        <w:rPr>
          <w:rFonts w:ascii="Arial"/>
        </w:rPr>
        <w:t>Dr A</w:t>
      </w:r>
      <w:r w:rsidR="006D0A24">
        <w:rPr>
          <w:rFonts w:ascii="Arial"/>
        </w:rPr>
        <w:t>cuna-Gonzalez</w:t>
      </w:r>
      <w:r w:rsidR="005973B9">
        <w:rPr>
          <w:rFonts w:ascii="Arial"/>
        </w:rPr>
        <w:t xml:space="preserve">, </w:t>
      </w:r>
      <w:r w:rsidR="006D0A24">
        <w:rPr>
          <w:rFonts w:ascii="Arial"/>
        </w:rPr>
        <w:t>M</w:t>
      </w:r>
      <w:r w:rsidR="005973B9">
        <w:rPr>
          <w:rFonts w:ascii="Arial"/>
        </w:rPr>
        <w:t>D,</w:t>
      </w:r>
      <w:r w:rsidR="006D0A24">
        <w:rPr>
          <w:rFonts w:ascii="Arial"/>
        </w:rPr>
        <w:t xml:space="preserve"> MSc</w:t>
      </w:r>
      <w:r w:rsidR="005973B9">
        <w:rPr>
          <w:rFonts w:ascii="Arial"/>
        </w:rPr>
        <w:t xml:space="preserve"> </w:t>
      </w:r>
      <w:proofErr w:type="spellStart"/>
      <w:r w:rsidR="006D0A24">
        <w:rPr>
          <w:rFonts w:ascii="Arial"/>
        </w:rPr>
        <w:t>Immunobiochemistry</w:t>
      </w:r>
      <w:proofErr w:type="spellEnd"/>
      <w:r w:rsidR="006D0A24">
        <w:rPr>
          <w:rFonts w:ascii="Arial"/>
        </w:rPr>
        <w:t xml:space="preserve"> Dept </w:t>
      </w:r>
      <w:proofErr w:type="spellStart"/>
      <w:r w:rsidR="006D0A24">
        <w:rPr>
          <w:rFonts w:ascii="Arial"/>
        </w:rPr>
        <w:t>INPer</w:t>
      </w:r>
      <w:proofErr w:type="spellEnd"/>
      <w:r w:rsidR="006D0A24">
        <w:rPr>
          <w:rFonts w:ascii="Arial"/>
        </w:rPr>
        <w:t>, Mexico</w:t>
      </w:r>
    </w:p>
    <w:p w14:paraId="1C363982" w14:textId="03B33DAA" w:rsidR="00AE3E37" w:rsidRPr="006D0A24" w:rsidRDefault="0078738A" w:rsidP="006D0A24">
      <w:pPr>
        <w:pStyle w:val="Textoindependiente"/>
        <w:spacing w:before="73" w:line="198" w:lineRule="exact"/>
        <w:ind w:left="100" w:right="5987"/>
        <w:rPr>
          <w:rFonts w:ascii="Arial"/>
        </w:rPr>
      </w:pPr>
      <w:r>
        <w:rPr>
          <w:rFonts w:ascii="Arial"/>
        </w:rPr>
        <w:t xml:space="preserve">Dr </w:t>
      </w:r>
      <w:r w:rsidR="006D0A24">
        <w:rPr>
          <w:rFonts w:ascii="Arial"/>
        </w:rPr>
        <w:t>Flores Herrera</w:t>
      </w:r>
      <w:r w:rsidR="005973B9">
        <w:rPr>
          <w:rFonts w:ascii="Arial"/>
        </w:rPr>
        <w:t xml:space="preserve">, </w:t>
      </w:r>
      <w:r w:rsidR="006D0A24">
        <w:rPr>
          <w:rFonts w:ascii="Arial"/>
        </w:rPr>
        <w:t>PhD</w:t>
      </w:r>
      <w:r w:rsidR="005973B9">
        <w:rPr>
          <w:rFonts w:ascii="Arial"/>
        </w:rPr>
        <w:t xml:space="preserve">, </w:t>
      </w:r>
      <w:proofErr w:type="spellStart"/>
      <w:r w:rsidR="006D0A24">
        <w:rPr>
          <w:rFonts w:ascii="Arial"/>
        </w:rPr>
        <w:t>Immunobiochemistry</w:t>
      </w:r>
      <w:proofErr w:type="spellEnd"/>
      <w:r w:rsidR="006D0A24">
        <w:rPr>
          <w:rFonts w:ascii="Arial"/>
        </w:rPr>
        <w:t xml:space="preserve"> Dept </w:t>
      </w:r>
      <w:proofErr w:type="spellStart"/>
      <w:r w:rsidR="006D0A24">
        <w:rPr>
          <w:rFonts w:ascii="Arial"/>
        </w:rPr>
        <w:t>INPer</w:t>
      </w:r>
      <w:proofErr w:type="spellEnd"/>
      <w:r w:rsidR="006D0A24">
        <w:rPr>
          <w:rFonts w:ascii="Arial"/>
        </w:rPr>
        <w:t>, Mexico</w:t>
      </w:r>
    </w:p>
    <w:p w14:paraId="6748E14D" w14:textId="77777777" w:rsidR="00AE3E37" w:rsidRDefault="00AE3E37">
      <w:pPr>
        <w:pStyle w:val="Textoindependiente"/>
        <w:spacing w:before="3"/>
        <w:rPr>
          <w:rFonts w:ascii="Arial"/>
          <w:sz w:val="21"/>
        </w:rPr>
      </w:pPr>
    </w:p>
    <w:p w14:paraId="71F8463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CA9FCB3" w14:textId="77777777" w:rsidR="00AE3E37" w:rsidRDefault="00A9710C">
      <w:pPr>
        <w:pStyle w:val="Ttulo3"/>
        <w:spacing w:before="147"/>
        <w:jc w:val="both"/>
      </w:pPr>
      <w:r>
        <w:rPr>
          <w:color w:val="BF5A14"/>
        </w:rPr>
        <w:t>Abstract</w:t>
      </w:r>
      <w:r w:rsidR="00404E5B">
        <w:rPr>
          <w:color w:val="BF5A14"/>
        </w:rPr>
        <w:t xml:space="preserve"> (300 word limit)</w:t>
      </w:r>
    </w:p>
    <w:p w14:paraId="633D7842" w14:textId="70438BB7" w:rsidR="006D0A24" w:rsidRDefault="006D0A24">
      <w:pPr>
        <w:pStyle w:val="Textoindependiente"/>
        <w:spacing w:before="90" w:line="280" w:lineRule="auto"/>
        <w:ind w:left="100"/>
        <w:jc w:val="both"/>
      </w:pPr>
      <w:r>
        <w:t xml:space="preserve">Background: Morphological features are the most common criteria used to select human embryos for transfer to a receptive uterine cavity. However, such characteristics are not valid for embryos in cellular arrest. Even aneuploid embryos can have normal morphology, and some euploid embryos have aberrant morphology. The aim of this study was to quantify the expression profile of hsa-miR-21-3p, -24-1-5p, -191-5p, and -372-5p in culture media on day 5 of in vitro embryo development, and compare the profiles of two groups of media classified by outcome: successful (n = 25) or unsuccessful (n = 25) implantation pregnancy. Methods: Fifty patients were accepted in the Department of Reproductive Biology of a Hospital in México City, based on the Institutional inclusion criteria for in vitro fertilization. Embryos were transferred to the women on day 5 of cultivation, and the culture media were collected. RNA was isolated from each culture medium with </w:t>
      </w:r>
      <w:proofErr w:type="spellStart"/>
      <w:r>
        <w:t>TRIzol</w:t>
      </w:r>
      <w:proofErr w:type="spellEnd"/>
      <w:r>
        <w:t xml:space="preserve"> reagent, and microRNA (miRNA) expression was detected through RT-PCR with specific primers. Expression bands were quantified by reading optical density. Results: There was a 5.2-fold greater expression of hsa-miR-191-5p in the pregnancy-related culture media (p ≤ 0.001) and a 1.6-fold greater level of hsa-miR-24-1-5p (p = 0.043) in the media corresponding to non-pregnant women. No significant difference existed between the two groups hsa-miR-21-3p (p = 0.38) or hsa-miR-372-5p (p = 0.41). Conclusions: Regarding adequate in vitro embryo development, hsa-miR-191-5p could possibly represent a positive biomarker, while has-miR-24-1-5p may indicate poor prognosis. This former miRNA modulates IGF2BP-1 and IGF2R, associated with the implantation window. On the other hand, hsa-miR-24-1-5p may be related to a poor prognosis of human embryo development. Keywords: MiRNA expression, Embryo development, Implantation, Embryo culture media, In vitro fertilization</w:t>
      </w:r>
    </w:p>
    <w:p w14:paraId="22DB94B7" w14:textId="2E6DD320" w:rsidR="00AE3E37" w:rsidRDefault="00A9710C">
      <w:pPr>
        <w:pStyle w:val="Ttulo3"/>
        <w:spacing w:before="74"/>
        <w:rPr>
          <w:color w:val="BF5A14"/>
        </w:rPr>
      </w:pPr>
      <w:r>
        <w:rPr>
          <w:b w:val="0"/>
        </w:rPr>
        <w:br w:type="column"/>
      </w:r>
      <w:r>
        <w:rPr>
          <w:color w:val="BF5A14"/>
        </w:rPr>
        <w:t>Image</w:t>
      </w:r>
    </w:p>
    <w:p w14:paraId="46493A2E" w14:textId="38B192E5" w:rsidR="00E11ACD" w:rsidRDefault="00E11ACD">
      <w:pPr>
        <w:pStyle w:val="Ttulo3"/>
        <w:spacing w:before="74"/>
      </w:pPr>
      <w:r>
        <w:rPr>
          <w:noProof/>
        </w:rPr>
        <w:drawing>
          <wp:inline distT="0" distB="0" distL="0" distR="0" wp14:anchorId="722C7839" wp14:editId="114E9B72">
            <wp:extent cx="2990215" cy="2790825"/>
            <wp:effectExtent l="0" t="0" r="635" b="9525"/>
            <wp:docPr id="4" name="Imagen 4"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0958" cy="2819518"/>
                    </a:xfrm>
                    <a:prstGeom prst="rect">
                      <a:avLst/>
                    </a:prstGeom>
                    <a:noFill/>
                    <a:ln>
                      <a:noFill/>
                    </a:ln>
                  </pic:spPr>
                </pic:pic>
              </a:graphicData>
            </a:graphic>
          </wp:inline>
        </w:drawing>
      </w:r>
    </w:p>
    <w:p w14:paraId="0F5D3974" w14:textId="0FAE2D8C" w:rsidR="00E11ACD" w:rsidRPr="000D1D77" w:rsidRDefault="00E11ACD">
      <w:pPr>
        <w:pStyle w:val="Ttulo3"/>
        <w:spacing w:before="74"/>
        <w:rPr>
          <w:rFonts w:ascii="Tw Cen MT" w:hAnsi="Tw Cen MT"/>
          <w:sz w:val="16"/>
          <w:szCs w:val="16"/>
        </w:rPr>
      </w:pPr>
      <w:r w:rsidRPr="000D1D77">
        <w:rPr>
          <w:rFonts w:ascii="Tw Cen MT" w:hAnsi="Tw Cen MT"/>
          <w:b w:val="0"/>
          <w:bCs w:val="0"/>
          <w:color w:val="333333"/>
          <w:sz w:val="16"/>
          <w:szCs w:val="16"/>
          <w:shd w:val="clear" w:color="auto" w:fill="FFFFFF"/>
        </w:rPr>
        <w:t xml:space="preserve">Expression of </w:t>
      </w:r>
      <w:proofErr w:type="spellStart"/>
      <w:r w:rsidRPr="000D1D77">
        <w:rPr>
          <w:rFonts w:ascii="Tw Cen MT" w:hAnsi="Tw Cen MT"/>
          <w:b w:val="0"/>
          <w:bCs w:val="0"/>
          <w:color w:val="333333"/>
          <w:sz w:val="16"/>
          <w:szCs w:val="16"/>
          <w:shd w:val="clear" w:color="auto" w:fill="FFFFFF"/>
        </w:rPr>
        <w:t>hsa</w:t>
      </w:r>
      <w:proofErr w:type="spellEnd"/>
      <w:r w:rsidRPr="000D1D77">
        <w:rPr>
          <w:rFonts w:ascii="Tw Cen MT" w:hAnsi="Tw Cen MT"/>
          <w:b w:val="0"/>
          <w:bCs w:val="0"/>
          <w:color w:val="333333"/>
          <w:sz w:val="16"/>
          <w:szCs w:val="16"/>
          <w:shd w:val="clear" w:color="auto" w:fill="FFFFFF"/>
        </w:rPr>
        <w:t>-miRNAs in the culture medium of human embryos with type II development</w:t>
      </w:r>
      <w:r w:rsidRPr="000D1D77">
        <w:rPr>
          <w:rFonts w:ascii="Tw Cen MT" w:hAnsi="Tw Cen MT"/>
          <w:color w:val="333333"/>
          <w:sz w:val="16"/>
          <w:szCs w:val="16"/>
          <w:shd w:val="clear" w:color="auto" w:fill="FFFFFF"/>
        </w:rPr>
        <w:t>. Marker (Lane 1), negative control (Lane 2) samples of the culture medium of the 25 implanted (</w:t>
      </w:r>
      <w:r w:rsidRPr="000D1D77">
        <w:rPr>
          <w:rFonts w:ascii="Tw Cen MT" w:hAnsi="Tw Cen MT"/>
          <w:b w:val="0"/>
          <w:bCs w:val="0"/>
          <w:color w:val="333333"/>
          <w:sz w:val="16"/>
          <w:szCs w:val="16"/>
          <w:shd w:val="clear" w:color="auto" w:fill="FFFFFF"/>
        </w:rPr>
        <w:t>A</w:t>
      </w:r>
      <w:r w:rsidRPr="000D1D77">
        <w:rPr>
          <w:rFonts w:ascii="Tw Cen MT" w:hAnsi="Tw Cen MT"/>
          <w:color w:val="333333"/>
          <w:sz w:val="16"/>
          <w:szCs w:val="16"/>
          <w:shd w:val="clear" w:color="auto" w:fill="FFFFFF"/>
        </w:rPr>
        <w:t>, pregnant patients) and non-implanted embryos (</w:t>
      </w:r>
      <w:r w:rsidRPr="000D1D77">
        <w:rPr>
          <w:rFonts w:ascii="Tw Cen MT" w:hAnsi="Tw Cen MT"/>
          <w:b w:val="0"/>
          <w:bCs w:val="0"/>
          <w:color w:val="333333"/>
          <w:sz w:val="16"/>
          <w:szCs w:val="16"/>
          <w:shd w:val="clear" w:color="auto" w:fill="FFFFFF"/>
        </w:rPr>
        <w:t>B</w:t>
      </w:r>
      <w:r w:rsidRPr="000D1D77">
        <w:rPr>
          <w:rFonts w:ascii="Tw Cen MT" w:hAnsi="Tw Cen MT"/>
          <w:color w:val="333333"/>
          <w:sz w:val="16"/>
          <w:szCs w:val="16"/>
          <w:shd w:val="clear" w:color="auto" w:fill="FFFFFF"/>
        </w:rPr>
        <w:t> non-pregnant patients). The optical density of each band was determined and the mean ± standard deviation is shown (</w:t>
      </w:r>
      <w:r w:rsidRPr="000D1D77">
        <w:rPr>
          <w:rFonts w:ascii="Tw Cen MT" w:hAnsi="Tw Cen MT"/>
          <w:b w:val="0"/>
          <w:bCs w:val="0"/>
          <w:color w:val="333333"/>
          <w:sz w:val="16"/>
          <w:szCs w:val="16"/>
          <w:shd w:val="clear" w:color="auto" w:fill="FFFFFF"/>
        </w:rPr>
        <w:t>C</w:t>
      </w:r>
      <w:r w:rsidRPr="000D1D77">
        <w:rPr>
          <w:rFonts w:ascii="Tw Cen MT" w:hAnsi="Tw Cen MT"/>
          <w:color w:val="333333"/>
          <w:sz w:val="16"/>
          <w:szCs w:val="16"/>
          <w:shd w:val="clear" w:color="auto" w:fill="FFFFFF"/>
        </w:rPr>
        <w:t>). The significant difference is indicated which was made by the Student's t-test and was taken as a difference of less than 0.</w:t>
      </w:r>
      <w:r w:rsidR="000D1D77">
        <w:rPr>
          <w:rFonts w:ascii="Tw Cen MT" w:hAnsi="Tw Cen MT"/>
          <w:color w:val="333333"/>
          <w:sz w:val="16"/>
          <w:szCs w:val="16"/>
          <w:shd w:val="clear" w:color="auto" w:fill="FFFFFF"/>
        </w:rPr>
        <w:t>0</w:t>
      </w:r>
      <w:r w:rsidRPr="000D1D77">
        <w:rPr>
          <w:rFonts w:ascii="Tw Cen MT" w:hAnsi="Tw Cen MT"/>
          <w:color w:val="333333"/>
          <w:sz w:val="16"/>
          <w:szCs w:val="16"/>
          <w:shd w:val="clear" w:color="auto" w:fill="FFFFFF"/>
        </w:rPr>
        <w:t>5</w:t>
      </w:r>
    </w:p>
    <w:p w14:paraId="5CE4FF88" w14:textId="0DE6C014" w:rsidR="00AE3E37" w:rsidRDefault="00AE3E37">
      <w:pPr>
        <w:pStyle w:val="Textoindependiente"/>
        <w:spacing w:before="2"/>
        <w:rPr>
          <w:rFonts w:ascii="Arial"/>
          <w:b/>
          <w:sz w:val="16"/>
        </w:rPr>
      </w:pPr>
    </w:p>
    <w:p w14:paraId="582BDE7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5B08CF2" w14:textId="3E657801" w:rsidR="00E11ACD" w:rsidRPr="000D1D77" w:rsidRDefault="00E11ACD" w:rsidP="00E11ACD">
      <w:pPr>
        <w:widowControl/>
        <w:rPr>
          <w:rFonts w:eastAsia="Times New Roman" w:cs="Times New Roman"/>
          <w:color w:val="333333"/>
          <w:sz w:val="16"/>
          <w:szCs w:val="16"/>
          <w:lang w:val="es-MX" w:eastAsia="es-MX"/>
        </w:rPr>
      </w:pPr>
      <w:r w:rsidRPr="00E11ACD">
        <w:rPr>
          <w:rFonts w:eastAsia="Times New Roman" w:cs="Times New Roman"/>
          <w:color w:val="333333"/>
          <w:sz w:val="16"/>
          <w:szCs w:val="16"/>
          <w:shd w:val="clear" w:color="auto" w:fill="FFFFFF"/>
          <w:lang w:val="es-MX" w:eastAsia="es-MX"/>
        </w:rPr>
        <w:t>1.</w:t>
      </w:r>
      <w:r w:rsidRPr="00E11ACD">
        <w:rPr>
          <w:rFonts w:eastAsia="Times New Roman" w:cs="Times New Roman"/>
          <w:color w:val="333333"/>
          <w:sz w:val="16"/>
          <w:szCs w:val="16"/>
          <w:lang w:val="es-MX" w:eastAsia="es-MX"/>
        </w:rPr>
        <w:t xml:space="preserve">Wilczynska A, </w:t>
      </w:r>
      <w:proofErr w:type="spellStart"/>
      <w:r w:rsidRPr="00E11ACD">
        <w:rPr>
          <w:rFonts w:eastAsia="Times New Roman" w:cs="Times New Roman"/>
          <w:color w:val="333333"/>
          <w:sz w:val="16"/>
          <w:szCs w:val="16"/>
          <w:lang w:val="es-MX" w:eastAsia="es-MX"/>
        </w:rPr>
        <w:t>Bushell</w:t>
      </w:r>
      <w:proofErr w:type="spellEnd"/>
      <w:r w:rsidRPr="00E11ACD">
        <w:rPr>
          <w:rFonts w:eastAsia="Times New Roman" w:cs="Times New Roman"/>
          <w:color w:val="333333"/>
          <w:sz w:val="16"/>
          <w:szCs w:val="16"/>
          <w:lang w:val="es-MX" w:eastAsia="es-MX"/>
        </w:rPr>
        <w:t xml:space="preserve"> M. </w:t>
      </w:r>
      <w:proofErr w:type="spellStart"/>
      <w:r w:rsidRPr="00E11ACD">
        <w:rPr>
          <w:rFonts w:eastAsia="Times New Roman" w:cs="Times New Roman"/>
          <w:color w:val="333333"/>
          <w:sz w:val="16"/>
          <w:szCs w:val="16"/>
          <w:lang w:val="es-MX" w:eastAsia="es-MX"/>
        </w:rPr>
        <w:t>The</w:t>
      </w:r>
      <w:proofErr w:type="spellEnd"/>
      <w:r w:rsidRPr="00E11ACD">
        <w:rPr>
          <w:rFonts w:eastAsia="Times New Roman" w:cs="Times New Roman"/>
          <w:color w:val="333333"/>
          <w:sz w:val="16"/>
          <w:szCs w:val="16"/>
          <w:lang w:val="es-MX" w:eastAsia="es-MX"/>
        </w:rPr>
        <w:t xml:space="preserve"> </w:t>
      </w:r>
      <w:proofErr w:type="spellStart"/>
      <w:r w:rsidRPr="00E11ACD">
        <w:rPr>
          <w:rFonts w:eastAsia="Times New Roman" w:cs="Times New Roman"/>
          <w:color w:val="333333"/>
          <w:sz w:val="16"/>
          <w:szCs w:val="16"/>
          <w:lang w:val="es-MX" w:eastAsia="es-MX"/>
        </w:rPr>
        <w:t>complexity</w:t>
      </w:r>
      <w:proofErr w:type="spellEnd"/>
      <w:r w:rsidRPr="00E11ACD">
        <w:rPr>
          <w:rFonts w:eastAsia="Times New Roman" w:cs="Times New Roman"/>
          <w:color w:val="333333"/>
          <w:sz w:val="16"/>
          <w:szCs w:val="16"/>
          <w:lang w:val="es-MX" w:eastAsia="es-MX"/>
        </w:rPr>
        <w:t xml:space="preserve"> </w:t>
      </w:r>
      <w:proofErr w:type="spellStart"/>
      <w:r w:rsidRPr="00E11ACD">
        <w:rPr>
          <w:rFonts w:eastAsia="Times New Roman" w:cs="Times New Roman"/>
          <w:color w:val="333333"/>
          <w:sz w:val="16"/>
          <w:szCs w:val="16"/>
          <w:lang w:val="es-MX" w:eastAsia="es-MX"/>
        </w:rPr>
        <w:t>of</w:t>
      </w:r>
      <w:proofErr w:type="spellEnd"/>
      <w:r w:rsidRPr="00E11ACD">
        <w:rPr>
          <w:rFonts w:eastAsia="Times New Roman" w:cs="Times New Roman"/>
          <w:color w:val="333333"/>
          <w:sz w:val="16"/>
          <w:szCs w:val="16"/>
          <w:lang w:val="es-MX" w:eastAsia="es-MX"/>
        </w:rPr>
        <w:t xml:space="preserve"> </w:t>
      </w:r>
      <w:proofErr w:type="spellStart"/>
      <w:r w:rsidRPr="00E11ACD">
        <w:rPr>
          <w:rFonts w:eastAsia="Times New Roman" w:cs="Times New Roman"/>
          <w:color w:val="333333"/>
          <w:sz w:val="16"/>
          <w:szCs w:val="16"/>
          <w:lang w:val="es-MX" w:eastAsia="es-MX"/>
        </w:rPr>
        <w:t>miRNA-mediated</w:t>
      </w:r>
      <w:proofErr w:type="spellEnd"/>
      <w:r w:rsidRPr="00E11ACD">
        <w:rPr>
          <w:rFonts w:eastAsia="Times New Roman" w:cs="Times New Roman"/>
          <w:color w:val="333333"/>
          <w:sz w:val="16"/>
          <w:szCs w:val="16"/>
          <w:lang w:val="es-MX" w:eastAsia="es-MX"/>
        </w:rPr>
        <w:t xml:space="preserve"> </w:t>
      </w:r>
      <w:proofErr w:type="spellStart"/>
      <w:r w:rsidRPr="00E11ACD">
        <w:rPr>
          <w:rFonts w:eastAsia="Times New Roman" w:cs="Times New Roman"/>
          <w:color w:val="333333"/>
          <w:sz w:val="16"/>
          <w:szCs w:val="16"/>
          <w:lang w:val="es-MX" w:eastAsia="es-MX"/>
        </w:rPr>
        <w:t>repression</w:t>
      </w:r>
      <w:proofErr w:type="spellEnd"/>
      <w:r w:rsidRPr="00E11ACD">
        <w:rPr>
          <w:rFonts w:eastAsia="Times New Roman" w:cs="Times New Roman"/>
          <w:color w:val="333333"/>
          <w:sz w:val="16"/>
          <w:szCs w:val="16"/>
          <w:lang w:val="es-MX" w:eastAsia="es-MX"/>
        </w:rPr>
        <w:t xml:space="preserve">. Cell </w:t>
      </w:r>
      <w:proofErr w:type="spellStart"/>
      <w:r w:rsidRPr="00E11ACD">
        <w:rPr>
          <w:rFonts w:eastAsia="Times New Roman" w:cs="Times New Roman"/>
          <w:color w:val="333333"/>
          <w:sz w:val="16"/>
          <w:szCs w:val="16"/>
          <w:lang w:val="es-MX" w:eastAsia="es-MX"/>
        </w:rPr>
        <w:t>Death</w:t>
      </w:r>
      <w:proofErr w:type="spellEnd"/>
      <w:r w:rsidRPr="00E11ACD">
        <w:rPr>
          <w:rFonts w:eastAsia="Times New Roman" w:cs="Times New Roman"/>
          <w:color w:val="333333"/>
          <w:sz w:val="16"/>
          <w:szCs w:val="16"/>
          <w:lang w:val="es-MX" w:eastAsia="es-MX"/>
        </w:rPr>
        <w:t xml:space="preserve"> </w:t>
      </w:r>
      <w:proofErr w:type="spellStart"/>
      <w:r w:rsidRPr="00E11ACD">
        <w:rPr>
          <w:rFonts w:eastAsia="Times New Roman" w:cs="Times New Roman"/>
          <w:color w:val="333333"/>
          <w:sz w:val="16"/>
          <w:szCs w:val="16"/>
          <w:lang w:val="es-MX" w:eastAsia="es-MX"/>
        </w:rPr>
        <w:t>Differ</w:t>
      </w:r>
      <w:proofErr w:type="spellEnd"/>
      <w:r w:rsidRPr="00E11ACD">
        <w:rPr>
          <w:rFonts w:eastAsia="Times New Roman" w:cs="Times New Roman"/>
          <w:color w:val="333333"/>
          <w:sz w:val="16"/>
          <w:szCs w:val="16"/>
          <w:lang w:val="es-MX" w:eastAsia="es-MX"/>
        </w:rPr>
        <w:t xml:space="preserve">. </w:t>
      </w:r>
      <w:proofErr w:type="gramStart"/>
      <w:r w:rsidRPr="00E11ACD">
        <w:rPr>
          <w:rFonts w:eastAsia="Times New Roman" w:cs="Times New Roman"/>
          <w:color w:val="333333"/>
          <w:sz w:val="16"/>
          <w:szCs w:val="16"/>
          <w:lang w:val="es-MX" w:eastAsia="es-MX"/>
        </w:rPr>
        <w:t>2015;22:22</w:t>
      </w:r>
      <w:proofErr w:type="gramEnd"/>
      <w:r w:rsidRPr="00E11ACD">
        <w:rPr>
          <w:rFonts w:eastAsia="Times New Roman" w:cs="Times New Roman"/>
          <w:color w:val="333333"/>
          <w:sz w:val="16"/>
          <w:szCs w:val="16"/>
          <w:lang w:val="es-MX" w:eastAsia="es-MX"/>
        </w:rPr>
        <w:t>–33.</w:t>
      </w:r>
    </w:p>
    <w:p w14:paraId="55B99A39" w14:textId="77777777" w:rsidR="00E11ACD" w:rsidRPr="00E11ACD" w:rsidRDefault="00E11ACD" w:rsidP="00E11ACD">
      <w:pPr>
        <w:widowControl/>
        <w:rPr>
          <w:rFonts w:eastAsia="Times New Roman" w:cs="Times New Roman"/>
          <w:sz w:val="16"/>
          <w:szCs w:val="16"/>
          <w:lang w:val="es-MX" w:eastAsia="es-MX"/>
        </w:rPr>
      </w:pPr>
    </w:p>
    <w:p w14:paraId="54342B7F" w14:textId="4A37B69D" w:rsidR="000D1D77" w:rsidRDefault="000D1D77" w:rsidP="000D1D77">
      <w:pPr>
        <w:pStyle w:val="c-article-referencestext"/>
        <w:shd w:val="clear" w:color="auto" w:fill="FFFFFF"/>
        <w:spacing w:before="0" w:beforeAutospacing="0" w:after="120" w:afterAutospacing="0"/>
        <w:rPr>
          <w:rFonts w:ascii="Tw Cen MT" w:hAnsi="Tw Cen MT"/>
          <w:color w:val="333333"/>
          <w:sz w:val="16"/>
          <w:szCs w:val="16"/>
        </w:rPr>
      </w:pPr>
      <w:r w:rsidRPr="000D1D77">
        <w:rPr>
          <w:rFonts w:ascii="Tw Cen MT" w:hAnsi="Tw Cen MT"/>
          <w:color w:val="333333"/>
          <w:sz w:val="16"/>
          <w:szCs w:val="16"/>
        </w:rPr>
        <w:t>2.</w:t>
      </w:r>
      <w:r w:rsidRPr="000D1D77">
        <w:rPr>
          <w:rFonts w:ascii="Tw Cen MT" w:hAnsi="Tw Cen MT"/>
          <w:color w:val="333333"/>
          <w:sz w:val="16"/>
          <w:szCs w:val="16"/>
        </w:rPr>
        <w:t xml:space="preserve">Bartolucci AF, </w:t>
      </w:r>
      <w:proofErr w:type="spellStart"/>
      <w:r w:rsidRPr="000D1D77">
        <w:rPr>
          <w:rFonts w:ascii="Tw Cen MT" w:hAnsi="Tw Cen MT"/>
          <w:color w:val="333333"/>
          <w:sz w:val="16"/>
          <w:szCs w:val="16"/>
        </w:rPr>
        <w:t>Uliasz</w:t>
      </w:r>
      <w:proofErr w:type="spellEnd"/>
      <w:r w:rsidRPr="000D1D77">
        <w:rPr>
          <w:rFonts w:ascii="Tw Cen MT" w:hAnsi="Tw Cen MT"/>
          <w:color w:val="333333"/>
          <w:sz w:val="16"/>
          <w:szCs w:val="16"/>
        </w:rPr>
        <w:t xml:space="preserve"> T, </w:t>
      </w:r>
      <w:proofErr w:type="spellStart"/>
      <w:r w:rsidRPr="000D1D77">
        <w:rPr>
          <w:rFonts w:ascii="Tw Cen MT" w:hAnsi="Tw Cen MT"/>
          <w:color w:val="333333"/>
          <w:sz w:val="16"/>
          <w:szCs w:val="16"/>
        </w:rPr>
        <w:t>Peluso</w:t>
      </w:r>
      <w:proofErr w:type="spellEnd"/>
      <w:r w:rsidRPr="000D1D77">
        <w:rPr>
          <w:rFonts w:ascii="Tw Cen MT" w:hAnsi="Tw Cen MT"/>
          <w:color w:val="333333"/>
          <w:sz w:val="16"/>
          <w:szCs w:val="16"/>
        </w:rPr>
        <w:t xml:space="preserve"> JJ. MicroRNA-21 as a </w:t>
      </w:r>
      <w:proofErr w:type="spellStart"/>
      <w:r w:rsidRPr="000D1D77">
        <w:rPr>
          <w:rFonts w:ascii="Tw Cen MT" w:hAnsi="Tw Cen MT"/>
          <w:color w:val="333333"/>
          <w:sz w:val="16"/>
          <w:szCs w:val="16"/>
        </w:rPr>
        <w:t>regulator</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of</w:t>
      </w:r>
      <w:proofErr w:type="spellEnd"/>
      <w:r w:rsidRPr="000D1D77">
        <w:rPr>
          <w:rFonts w:ascii="Tw Cen MT" w:hAnsi="Tw Cen MT"/>
          <w:color w:val="333333"/>
          <w:sz w:val="16"/>
          <w:szCs w:val="16"/>
        </w:rPr>
        <w:t xml:space="preserve"> human </w:t>
      </w:r>
      <w:proofErr w:type="spellStart"/>
      <w:r w:rsidRPr="000D1D77">
        <w:rPr>
          <w:rFonts w:ascii="Tw Cen MT" w:hAnsi="Tw Cen MT"/>
          <w:color w:val="333333"/>
          <w:sz w:val="16"/>
          <w:szCs w:val="16"/>
        </w:rPr>
        <w:t>cumulus</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cell</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viability</w:t>
      </w:r>
      <w:proofErr w:type="spellEnd"/>
      <w:r w:rsidRPr="000D1D77">
        <w:rPr>
          <w:rFonts w:ascii="Tw Cen MT" w:hAnsi="Tw Cen MT"/>
          <w:color w:val="333333"/>
          <w:sz w:val="16"/>
          <w:szCs w:val="16"/>
        </w:rPr>
        <w:t xml:space="preserve"> and </w:t>
      </w:r>
      <w:proofErr w:type="spellStart"/>
      <w:r w:rsidRPr="000D1D77">
        <w:rPr>
          <w:rFonts w:ascii="Tw Cen MT" w:hAnsi="Tw Cen MT"/>
          <w:color w:val="333333"/>
          <w:sz w:val="16"/>
          <w:szCs w:val="16"/>
        </w:rPr>
        <w:t>its</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potential</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influence</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on</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the</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developmental</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potential</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of</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the</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oocyte</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Biol</w:t>
      </w:r>
      <w:proofErr w:type="spellEnd"/>
      <w:r w:rsidRPr="000D1D77">
        <w:rPr>
          <w:rFonts w:ascii="Tw Cen MT" w:hAnsi="Tw Cen MT"/>
          <w:color w:val="333333"/>
          <w:sz w:val="16"/>
          <w:szCs w:val="16"/>
        </w:rPr>
        <w:t xml:space="preserve"> </w:t>
      </w:r>
      <w:proofErr w:type="spellStart"/>
      <w:r w:rsidRPr="000D1D77">
        <w:rPr>
          <w:rFonts w:ascii="Tw Cen MT" w:hAnsi="Tw Cen MT"/>
          <w:color w:val="333333"/>
          <w:sz w:val="16"/>
          <w:szCs w:val="16"/>
        </w:rPr>
        <w:t>Reprod</w:t>
      </w:r>
      <w:proofErr w:type="spellEnd"/>
      <w:r w:rsidRPr="000D1D77">
        <w:rPr>
          <w:rFonts w:ascii="Tw Cen MT" w:hAnsi="Tw Cen MT"/>
          <w:color w:val="333333"/>
          <w:sz w:val="16"/>
          <w:szCs w:val="16"/>
        </w:rPr>
        <w:t xml:space="preserve">. </w:t>
      </w:r>
      <w:proofErr w:type="gramStart"/>
      <w:r w:rsidRPr="000D1D77">
        <w:rPr>
          <w:rFonts w:ascii="Tw Cen MT" w:hAnsi="Tw Cen MT"/>
          <w:color w:val="333333"/>
          <w:sz w:val="16"/>
          <w:szCs w:val="16"/>
        </w:rPr>
        <w:t>2020;103:94</w:t>
      </w:r>
      <w:proofErr w:type="gramEnd"/>
      <w:r w:rsidRPr="000D1D77">
        <w:rPr>
          <w:rFonts w:ascii="Tw Cen MT" w:hAnsi="Tw Cen MT"/>
          <w:color w:val="333333"/>
          <w:sz w:val="16"/>
          <w:szCs w:val="16"/>
        </w:rPr>
        <w:t>–103.</w:t>
      </w:r>
    </w:p>
    <w:p w14:paraId="56658FE2" w14:textId="18C63B9D" w:rsidR="000D1D77" w:rsidRDefault="000D1D77" w:rsidP="000D1D77">
      <w:pPr>
        <w:pStyle w:val="c-article-referencestext"/>
        <w:shd w:val="clear" w:color="auto" w:fill="FFFFFF"/>
        <w:spacing w:before="0" w:beforeAutospacing="0" w:after="120" w:afterAutospacing="0"/>
        <w:rPr>
          <w:rFonts w:ascii="Tw Cen MT" w:hAnsi="Tw Cen MT"/>
          <w:color w:val="333333"/>
          <w:sz w:val="16"/>
          <w:szCs w:val="16"/>
          <w:shd w:val="clear" w:color="auto" w:fill="FFFFFF"/>
        </w:rPr>
      </w:pPr>
      <w:r>
        <w:rPr>
          <w:rFonts w:ascii="Tw Cen MT" w:hAnsi="Tw Cen MT"/>
          <w:color w:val="333333"/>
          <w:sz w:val="16"/>
          <w:szCs w:val="16"/>
        </w:rPr>
        <w:t>3.</w:t>
      </w:r>
      <w:r w:rsidRPr="000D1D77">
        <w:rPr>
          <w:rFonts w:ascii="Georgia" w:hAnsi="Georgia"/>
          <w:color w:val="333333"/>
          <w:sz w:val="27"/>
          <w:szCs w:val="27"/>
          <w:shd w:val="clear" w:color="auto" w:fill="FFFFFF"/>
        </w:rPr>
        <w:t xml:space="preserve"> </w:t>
      </w:r>
      <w:proofErr w:type="spellStart"/>
      <w:r w:rsidRPr="000D1D77">
        <w:rPr>
          <w:rFonts w:ascii="Tw Cen MT" w:hAnsi="Tw Cen MT"/>
          <w:color w:val="333333"/>
          <w:sz w:val="16"/>
          <w:szCs w:val="16"/>
          <w:shd w:val="clear" w:color="auto" w:fill="FFFFFF"/>
        </w:rPr>
        <w:t>Azizi</w:t>
      </w:r>
      <w:proofErr w:type="spellEnd"/>
      <w:r w:rsidRPr="000D1D77">
        <w:rPr>
          <w:rFonts w:ascii="Tw Cen MT" w:hAnsi="Tw Cen MT"/>
          <w:color w:val="333333"/>
          <w:sz w:val="16"/>
          <w:szCs w:val="16"/>
          <w:shd w:val="clear" w:color="auto" w:fill="FFFFFF"/>
        </w:rPr>
        <w:t xml:space="preserve"> E, </w:t>
      </w:r>
      <w:proofErr w:type="spellStart"/>
      <w:r w:rsidRPr="000D1D77">
        <w:rPr>
          <w:rFonts w:ascii="Tw Cen MT" w:hAnsi="Tw Cen MT"/>
          <w:color w:val="333333"/>
          <w:sz w:val="16"/>
          <w:szCs w:val="16"/>
          <w:shd w:val="clear" w:color="auto" w:fill="FFFFFF"/>
        </w:rPr>
        <w:t>Ghaffari</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Novin</w:t>
      </w:r>
      <w:proofErr w:type="spellEnd"/>
      <w:r w:rsidRPr="000D1D77">
        <w:rPr>
          <w:rFonts w:ascii="Tw Cen MT" w:hAnsi="Tw Cen MT"/>
          <w:color w:val="333333"/>
          <w:sz w:val="16"/>
          <w:szCs w:val="16"/>
          <w:shd w:val="clear" w:color="auto" w:fill="FFFFFF"/>
        </w:rPr>
        <w:t xml:space="preserve"> M, </w:t>
      </w:r>
      <w:proofErr w:type="spellStart"/>
      <w:r w:rsidRPr="000D1D77">
        <w:rPr>
          <w:rFonts w:ascii="Tw Cen MT" w:hAnsi="Tw Cen MT"/>
          <w:color w:val="333333"/>
          <w:sz w:val="16"/>
          <w:szCs w:val="16"/>
          <w:shd w:val="clear" w:color="auto" w:fill="FFFFFF"/>
        </w:rPr>
        <w:t>Naji</w:t>
      </w:r>
      <w:proofErr w:type="spellEnd"/>
      <w:r w:rsidRPr="000D1D77">
        <w:rPr>
          <w:rFonts w:ascii="Tw Cen MT" w:hAnsi="Tw Cen MT"/>
          <w:color w:val="333333"/>
          <w:sz w:val="16"/>
          <w:szCs w:val="16"/>
          <w:shd w:val="clear" w:color="auto" w:fill="FFFFFF"/>
        </w:rPr>
        <w:t xml:space="preserve"> M, </w:t>
      </w:r>
      <w:proofErr w:type="spellStart"/>
      <w:r w:rsidRPr="000D1D77">
        <w:rPr>
          <w:rFonts w:ascii="Tw Cen MT" w:hAnsi="Tw Cen MT"/>
          <w:color w:val="333333"/>
          <w:sz w:val="16"/>
          <w:szCs w:val="16"/>
          <w:shd w:val="clear" w:color="auto" w:fill="FFFFFF"/>
        </w:rPr>
        <w:t>Amidi</w:t>
      </w:r>
      <w:proofErr w:type="spellEnd"/>
      <w:r w:rsidRPr="000D1D77">
        <w:rPr>
          <w:rFonts w:ascii="Tw Cen MT" w:hAnsi="Tw Cen MT"/>
          <w:color w:val="333333"/>
          <w:sz w:val="16"/>
          <w:szCs w:val="16"/>
          <w:shd w:val="clear" w:color="auto" w:fill="FFFFFF"/>
        </w:rPr>
        <w:t xml:space="preserve"> F, </w:t>
      </w:r>
      <w:proofErr w:type="spellStart"/>
      <w:r w:rsidRPr="000D1D77">
        <w:rPr>
          <w:rFonts w:ascii="Tw Cen MT" w:hAnsi="Tw Cen MT"/>
          <w:color w:val="333333"/>
          <w:sz w:val="16"/>
          <w:szCs w:val="16"/>
          <w:shd w:val="clear" w:color="auto" w:fill="FFFFFF"/>
        </w:rPr>
        <w:t>Shams</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Mofarahe</w:t>
      </w:r>
      <w:proofErr w:type="spellEnd"/>
      <w:r w:rsidRPr="000D1D77">
        <w:rPr>
          <w:rFonts w:ascii="Tw Cen MT" w:hAnsi="Tw Cen MT"/>
          <w:color w:val="333333"/>
          <w:sz w:val="16"/>
          <w:szCs w:val="16"/>
          <w:shd w:val="clear" w:color="auto" w:fill="FFFFFF"/>
        </w:rPr>
        <w:t xml:space="preserve"> Z. </w:t>
      </w:r>
      <w:proofErr w:type="spellStart"/>
      <w:r w:rsidRPr="000D1D77">
        <w:rPr>
          <w:rFonts w:ascii="Tw Cen MT" w:hAnsi="Tw Cen MT"/>
          <w:color w:val="333333"/>
          <w:sz w:val="16"/>
          <w:szCs w:val="16"/>
          <w:shd w:val="clear" w:color="auto" w:fill="FFFFFF"/>
        </w:rPr>
        <w:t>Does</w:t>
      </w:r>
      <w:proofErr w:type="spellEnd"/>
      <w:r w:rsidRPr="000D1D77">
        <w:rPr>
          <w:rFonts w:ascii="Tw Cen MT" w:hAnsi="Tw Cen MT"/>
          <w:color w:val="333333"/>
          <w:sz w:val="16"/>
          <w:szCs w:val="16"/>
          <w:shd w:val="clear" w:color="auto" w:fill="FFFFFF"/>
        </w:rPr>
        <w:t xml:space="preserve"> in vitro </w:t>
      </w:r>
      <w:proofErr w:type="spellStart"/>
      <w:r w:rsidRPr="000D1D77">
        <w:rPr>
          <w:rFonts w:ascii="Tw Cen MT" w:hAnsi="Tw Cen MT"/>
          <w:color w:val="333333"/>
          <w:sz w:val="16"/>
          <w:szCs w:val="16"/>
          <w:shd w:val="clear" w:color="auto" w:fill="FFFFFF"/>
        </w:rPr>
        <w:t>fertilization</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affect</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the</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expression</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of</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miRNAs</w:t>
      </w:r>
      <w:proofErr w:type="spellEnd"/>
      <w:r w:rsidRPr="000D1D77">
        <w:rPr>
          <w:rFonts w:ascii="Tw Cen MT" w:hAnsi="Tw Cen MT"/>
          <w:color w:val="333333"/>
          <w:sz w:val="16"/>
          <w:szCs w:val="16"/>
          <w:shd w:val="clear" w:color="auto" w:fill="FFFFFF"/>
        </w:rPr>
        <w:t xml:space="preserve"> and </w:t>
      </w:r>
      <w:proofErr w:type="spellStart"/>
      <w:r w:rsidRPr="000D1D77">
        <w:rPr>
          <w:rFonts w:ascii="Tw Cen MT" w:hAnsi="Tw Cen MT"/>
          <w:color w:val="333333"/>
          <w:sz w:val="16"/>
          <w:szCs w:val="16"/>
          <w:shd w:val="clear" w:color="auto" w:fill="FFFFFF"/>
        </w:rPr>
        <w:t>their</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biogenesis</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pathway</w:t>
      </w:r>
      <w:proofErr w:type="spellEnd"/>
      <w:r w:rsidRPr="000D1D77">
        <w:rPr>
          <w:rFonts w:ascii="Tw Cen MT" w:hAnsi="Tw Cen MT"/>
          <w:color w:val="333333"/>
          <w:sz w:val="16"/>
          <w:szCs w:val="16"/>
          <w:shd w:val="clear" w:color="auto" w:fill="FFFFFF"/>
        </w:rPr>
        <w:t xml:space="preserve"> in </w:t>
      </w:r>
      <w:proofErr w:type="spellStart"/>
      <w:r w:rsidRPr="000D1D77">
        <w:rPr>
          <w:rFonts w:ascii="Tw Cen MT" w:hAnsi="Tw Cen MT"/>
          <w:color w:val="333333"/>
          <w:sz w:val="16"/>
          <w:szCs w:val="16"/>
          <w:shd w:val="clear" w:color="auto" w:fill="FFFFFF"/>
        </w:rPr>
        <w:t>preimplantation</w:t>
      </w:r>
      <w:proofErr w:type="spellEnd"/>
      <w:r w:rsidRPr="000D1D77">
        <w:rPr>
          <w:rFonts w:ascii="Tw Cen MT" w:hAnsi="Tw Cen MT"/>
          <w:color w:val="333333"/>
          <w:sz w:val="16"/>
          <w:szCs w:val="16"/>
          <w:shd w:val="clear" w:color="auto" w:fill="FFFFFF"/>
        </w:rPr>
        <w:t xml:space="preserve"> mouse </w:t>
      </w:r>
      <w:proofErr w:type="spellStart"/>
      <w:r w:rsidRPr="000D1D77">
        <w:rPr>
          <w:rFonts w:ascii="Tw Cen MT" w:hAnsi="Tw Cen MT"/>
          <w:color w:val="333333"/>
          <w:sz w:val="16"/>
          <w:szCs w:val="16"/>
          <w:shd w:val="clear" w:color="auto" w:fill="FFFFFF"/>
        </w:rPr>
        <w:t>embryos</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Birth</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Defects</w:t>
      </w:r>
      <w:proofErr w:type="spellEnd"/>
      <w:r w:rsidRPr="000D1D77">
        <w:rPr>
          <w:rFonts w:ascii="Tw Cen MT" w:hAnsi="Tw Cen MT"/>
          <w:color w:val="333333"/>
          <w:sz w:val="16"/>
          <w:szCs w:val="16"/>
          <w:shd w:val="clear" w:color="auto" w:fill="FFFFFF"/>
        </w:rPr>
        <w:t xml:space="preserve"> Res. </w:t>
      </w:r>
      <w:proofErr w:type="gramStart"/>
      <w:r w:rsidRPr="000D1D77">
        <w:rPr>
          <w:rFonts w:ascii="Tw Cen MT" w:hAnsi="Tw Cen MT"/>
          <w:color w:val="333333"/>
          <w:sz w:val="16"/>
          <w:szCs w:val="16"/>
          <w:shd w:val="clear" w:color="auto" w:fill="FFFFFF"/>
        </w:rPr>
        <w:t>2020;112:62</w:t>
      </w:r>
      <w:proofErr w:type="gramEnd"/>
      <w:r w:rsidRPr="000D1D77">
        <w:rPr>
          <w:rFonts w:ascii="Tw Cen MT" w:hAnsi="Tw Cen MT"/>
          <w:color w:val="333333"/>
          <w:sz w:val="16"/>
          <w:szCs w:val="16"/>
          <w:shd w:val="clear" w:color="auto" w:fill="FFFFFF"/>
        </w:rPr>
        <w:t>–70.</w:t>
      </w:r>
    </w:p>
    <w:p w14:paraId="07E9ABEA" w14:textId="6DDAF6D0" w:rsidR="000D1D77" w:rsidRDefault="000D1D77" w:rsidP="000D1D77">
      <w:pPr>
        <w:pStyle w:val="c-article-referencestext"/>
        <w:shd w:val="clear" w:color="auto" w:fill="FFFFFF"/>
        <w:spacing w:before="0" w:beforeAutospacing="0" w:after="120" w:afterAutospacing="0"/>
        <w:rPr>
          <w:rFonts w:ascii="Tw Cen MT" w:hAnsi="Tw Cen MT"/>
          <w:color w:val="333333"/>
          <w:sz w:val="16"/>
          <w:szCs w:val="16"/>
          <w:shd w:val="clear" w:color="auto" w:fill="FFFFFF"/>
        </w:rPr>
      </w:pPr>
      <w:r w:rsidRPr="000D1D77">
        <w:rPr>
          <w:rFonts w:ascii="Tw Cen MT" w:hAnsi="Tw Cen MT"/>
          <w:color w:val="333333"/>
          <w:sz w:val="16"/>
          <w:szCs w:val="16"/>
          <w:shd w:val="clear" w:color="auto" w:fill="FFFFFF"/>
        </w:rPr>
        <w:t xml:space="preserve">4. </w:t>
      </w:r>
      <w:proofErr w:type="spellStart"/>
      <w:r w:rsidRPr="000D1D77">
        <w:rPr>
          <w:rFonts w:ascii="Tw Cen MT" w:hAnsi="Tw Cen MT"/>
          <w:color w:val="333333"/>
          <w:sz w:val="16"/>
          <w:szCs w:val="16"/>
          <w:shd w:val="clear" w:color="auto" w:fill="FFFFFF"/>
        </w:rPr>
        <w:t>Kropp</w:t>
      </w:r>
      <w:proofErr w:type="spellEnd"/>
      <w:r w:rsidRPr="000D1D77">
        <w:rPr>
          <w:rFonts w:ascii="Tw Cen MT" w:hAnsi="Tw Cen MT"/>
          <w:color w:val="333333"/>
          <w:sz w:val="16"/>
          <w:szCs w:val="16"/>
          <w:shd w:val="clear" w:color="auto" w:fill="FFFFFF"/>
        </w:rPr>
        <w:t xml:space="preserve"> J, </w:t>
      </w:r>
      <w:proofErr w:type="spellStart"/>
      <w:r w:rsidRPr="000D1D77">
        <w:rPr>
          <w:rFonts w:ascii="Tw Cen MT" w:hAnsi="Tw Cen MT"/>
          <w:color w:val="333333"/>
          <w:sz w:val="16"/>
          <w:szCs w:val="16"/>
          <w:shd w:val="clear" w:color="auto" w:fill="FFFFFF"/>
        </w:rPr>
        <w:t>Khatib</w:t>
      </w:r>
      <w:proofErr w:type="spellEnd"/>
      <w:r w:rsidRPr="000D1D77">
        <w:rPr>
          <w:rFonts w:ascii="Tw Cen MT" w:hAnsi="Tw Cen MT"/>
          <w:color w:val="333333"/>
          <w:sz w:val="16"/>
          <w:szCs w:val="16"/>
          <w:shd w:val="clear" w:color="auto" w:fill="FFFFFF"/>
        </w:rPr>
        <w:t xml:space="preserve"> H. </w:t>
      </w:r>
      <w:proofErr w:type="spellStart"/>
      <w:r w:rsidRPr="000D1D77">
        <w:rPr>
          <w:rFonts w:ascii="Tw Cen MT" w:hAnsi="Tw Cen MT"/>
          <w:color w:val="333333"/>
          <w:sz w:val="16"/>
          <w:szCs w:val="16"/>
          <w:shd w:val="clear" w:color="auto" w:fill="FFFFFF"/>
        </w:rPr>
        <w:t>Characterization</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of</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microRNA</w:t>
      </w:r>
      <w:proofErr w:type="spellEnd"/>
      <w:r w:rsidRPr="000D1D77">
        <w:rPr>
          <w:rFonts w:ascii="Tw Cen MT" w:hAnsi="Tw Cen MT"/>
          <w:color w:val="333333"/>
          <w:sz w:val="16"/>
          <w:szCs w:val="16"/>
          <w:shd w:val="clear" w:color="auto" w:fill="FFFFFF"/>
        </w:rPr>
        <w:t xml:space="preserve"> in bovine in vitro culture media </w:t>
      </w:r>
      <w:proofErr w:type="spellStart"/>
      <w:r w:rsidRPr="000D1D77">
        <w:rPr>
          <w:rFonts w:ascii="Tw Cen MT" w:hAnsi="Tw Cen MT"/>
          <w:color w:val="333333"/>
          <w:sz w:val="16"/>
          <w:szCs w:val="16"/>
          <w:shd w:val="clear" w:color="auto" w:fill="FFFFFF"/>
        </w:rPr>
        <w:t>associated</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with</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embryo</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quality</w:t>
      </w:r>
      <w:proofErr w:type="spellEnd"/>
      <w:r w:rsidRPr="000D1D77">
        <w:rPr>
          <w:rFonts w:ascii="Tw Cen MT" w:hAnsi="Tw Cen MT"/>
          <w:color w:val="333333"/>
          <w:sz w:val="16"/>
          <w:szCs w:val="16"/>
          <w:shd w:val="clear" w:color="auto" w:fill="FFFFFF"/>
        </w:rPr>
        <w:t xml:space="preserve"> and </w:t>
      </w:r>
      <w:proofErr w:type="spellStart"/>
      <w:r w:rsidRPr="000D1D77">
        <w:rPr>
          <w:rFonts w:ascii="Tw Cen MT" w:hAnsi="Tw Cen MT"/>
          <w:color w:val="333333"/>
          <w:sz w:val="16"/>
          <w:szCs w:val="16"/>
          <w:shd w:val="clear" w:color="auto" w:fill="FFFFFF"/>
        </w:rPr>
        <w:t>development</w:t>
      </w:r>
      <w:proofErr w:type="spellEnd"/>
      <w:r w:rsidRPr="000D1D77">
        <w:rPr>
          <w:rFonts w:ascii="Tw Cen MT" w:hAnsi="Tw Cen MT"/>
          <w:color w:val="333333"/>
          <w:sz w:val="16"/>
          <w:szCs w:val="16"/>
          <w:shd w:val="clear" w:color="auto" w:fill="FFFFFF"/>
        </w:rPr>
        <w:t xml:space="preserve">. J </w:t>
      </w:r>
      <w:proofErr w:type="spellStart"/>
      <w:r w:rsidRPr="000D1D77">
        <w:rPr>
          <w:rFonts w:ascii="Tw Cen MT" w:hAnsi="Tw Cen MT"/>
          <w:color w:val="333333"/>
          <w:sz w:val="16"/>
          <w:szCs w:val="16"/>
          <w:shd w:val="clear" w:color="auto" w:fill="FFFFFF"/>
        </w:rPr>
        <w:t>Dairy</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Sci</w:t>
      </w:r>
      <w:proofErr w:type="spellEnd"/>
      <w:r w:rsidRPr="000D1D77">
        <w:rPr>
          <w:rFonts w:ascii="Tw Cen MT" w:hAnsi="Tw Cen MT"/>
          <w:color w:val="333333"/>
          <w:sz w:val="16"/>
          <w:szCs w:val="16"/>
          <w:shd w:val="clear" w:color="auto" w:fill="FFFFFF"/>
        </w:rPr>
        <w:t xml:space="preserve">. </w:t>
      </w:r>
      <w:proofErr w:type="gramStart"/>
      <w:r w:rsidRPr="000D1D77">
        <w:rPr>
          <w:rFonts w:ascii="Tw Cen MT" w:hAnsi="Tw Cen MT"/>
          <w:color w:val="333333"/>
          <w:sz w:val="16"/>
          <w:szCs w:val="16"/>
          <w:shd w:val="clear" w:color="auto" w:fill="FFFFFF"/>
        </w:rPr>
        <w:t>2015;98:6552</w:t>
      </w:r>
      <w:proofErr w:type="gramEnd"/>
      <w:r w:rsidRPr="000D1D77">
        <w:rPr>
          <w:rFonts w:ascii="Tw Cen MT" w:hAnsi="Tw Cen MT"/>
          <w:color w:val="333333"/>
          <w:sz w:val="16"/>
          <w:szCs w:val="16"/>
          <w:shd w:val="clear" w:color="auto" w:fill="FFFFFF"/>
        </w:rPr>
        <w:t>–63.</w:t>
      </w:r>
    </w:p>
    <w:p w14:paraId="043B6F9E" w14:textId="2C4C8B0B" w:rsidR="000D1D77" w:rsidRPr="000D1D77" w:rsidRDefault="000D1D77" w:rsidP="000D1D77">
      <w:pPr>
        <w:pStyle w:val="c-article-referencestext"/>
        <w:shd w:val="clear" w:color="auto" w:fill="FFFFFF"/>
        <w:spacing w:before="0" w:beforeAutospacing="0" w:after="120" w:afterAutospacing="0"/>
        <w:rPr>
          <w:rFonts w:ascii="Tw Cen MT" w:hAnsi="Tw Cen MT"/>
          <w:color w:val="333333"/>
          <w:sz w:val="16"/>
          <w:szCs w:val="16"/>
        </w:rPr>
      </w:pPr>
      <w:r>
        <w:rPr>
          <w:rFonts w:ascii="Tw Cen MT" w:hAnsi="Tw Cen MT"/>
          <w:color w:val="333333"/>
          <w:sz w:val="16"/>
          <w:szCs w:val="16"/>
          <w:shd w:val="clear" w:color="auto" w:fill="FFFFFF"/>
        </w:rPr>
        <w:t xml:space="preserve">5. </w:t>
      </w:r>
      <w:r w:rsidRPr="000D1D77">
        <w:rPr>
          <w:rFonts w:ascii="Tw Cen MT" w:hAnsi="Tw Cen MT"/>
          <w:color w:val="333333"/>
          <w:sz w:val="16"/>
          <w:szCs w:val="16"/>
          <w:shd w:val="clear" w:color="auto" w:fill="FFFFFF"/>
        </w:rPr>
        <w:t xml:space="preserve">Paul ABM, </w:t>
      </w:r>
      <w:proofErr w:type="spellStart"/>
      <w:r w:rsidRPr="000D1D77">
        <w:rPr>
          <w:rFonts w:ascii="Tw Cen MT" w:hAnsi="Tw Cen MT"/>
          <w:color w:val="333333"/>
          <w:sz w:val="16"/>
          <w:szCs w:val="16"/>
          <w:shd w:val="clear" w:color="auto" w:fill="FFFFFF"/>
        </w:rPr>
        <w:t>Sadek</w:t>
      </w:r>
      <w:proofErr w:type="spellEnd"/>
      <w:r w:rsidRPr="000D1D77">
        <w:rPr>
          <w:rFonts w:ascii="Tw Cen MT" w:hAnsi="Tw Cen MT"/>
          <w:color w:val="333333"/>
          <w:sz w:val="16"/>
          <w:szCs w:val="16"/>
          <w:shd w:val="clear" w:color="auto" w:fill="FFFFFF"/>
        </w:rPr>
        <w:t xml:space="preserve"> ST, </w:t>
      </w:r>
      <w:proofErr w:type="spellStart"/>
      <w:r w:rsidRPr="000D1D77">
        <w:rPr>
          <w:rFonts w:ascii="Tw Cen MT" w:hAnsi="Tw Cen MT"/>
          <w:color w:val="333333"/>
          <w:sz w:val="16"/>
          <w:szCs w:val="16"/>
          <w:shd w:val="clear" w:color="auto" w:fill="FFFFFF"/>
        </w:rPr>
        <w:t>Mahesan</w:t>
      </w:r>
      <w:proofErr w:type="spellEnd"/>
      <w:r w:rsidRPr="000D1D77">
        <w:rPr>
          <w:rFonts w:ascii="Tw Cen MT" w:hAnsi="Tw Cen MT"/>
          <w:color w:val="333333"/>
          <w:sz w:val="16"/>
          <w:szCs w:val="16"/>
          <w:shd w:val="clear" w:color="auto" w:fill="FFFFFF"/>
        </w:rPr>
        <w:t xml:space="preserve"> AM. </w:t>
      </w:r>
      <w:proofErr w:type="spellStart"/>
      <w:r w:rsidRPr="000D1D77">
        <w:rPr>
          <w:rFonts w:ascii="Tw Cen MT" w:hAnsi="Tw Cen MT"/>
          <w:color w:val="333333"/>
          <w:sz w:val="16"/>
          <w:szCs w:val="16"/>
          <w:shd w:val="clear" w:color="auto" w:fill="FFFFFF"/>
        </w:rPr>
        <w:t>The</w:t>
      </w:r>
      <w:proofErr w:type="spellEnd"/>
      <w:r w:rsidRPr="000D1D77">
        <w:rPr>
          <w:rFonts w:ascii="Tw Cen MT" w:hAnsi="Tw Cen MT"/>
          <w:color w:val="333333"/>
          <w:sz w:val="16"/>
          <w:szCs w:val="16"/>
          <w:shd w:val="clear" w:color="auto" w:fill="FFFFFF"/>
        </w:rPr>
        <w:t xml:space="preserve"> role </w:t>
      </w:r>
      <w:proofErr w:type="spellStart"/>
      <w:r w:rsidRPr="000D1D77">
        <w:rPr>
          <w:rFonts w:ascii="Tw Cen MT" w:hAnsi="Tw Cen MT"/>
          <w:color w:val="333333"/>
          <w:sz w:val="16"/>
          <w:szCs w:val="16"/>
          <w:shd w:val="clear" w:color="auto" w:fill="FFFFFF"/>
        </w:rPr>
        <w:t>of</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microRNAs</w:t>
      </w:r>
      <w:proofErr w:type="spellEnd"/>
      <w:r w:rsidRPr="000D1D77">
        <w:rPr>
          <w:rFonts w:ascii="Tw Cen MT" w:hAnsi="Tw Cen MT"/>
          <w:color w:val="333333"/>
          <w:sz w:val="16"/>
          <w:szCs w:val="16"/>
          <w:shd w:val="clear" w:color="auto" w:fill="FFFFFF"/>
        </w:rPr>
        <w:t xml:space="preserve"> in human </w:t>
      </w:r>
      <w:proofErr w:type="spellStart"/>
      <w:r w:rsidRPr="000D1D77">
        <w:rPr>
          <w:rFonts w:ascii="Tw Cen MT" w:hAnsi="Tw Cen MT"/>
          <w:color w:val="333333"/>
          <w:sz w:val="16"/>
          <w:szCs w:val="16"/>
          <w:shd w:val="clear" w:color="auto" w:fill="FFFFFF"/>
        </w:rPr>
        <w:t>embryo</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implantation</w:t>
      </w:r>
      <w:proofErr w:type="spellEnd"/>
      <w:r w:rsidRPr="000D1D77">
        <w:rPr>
          <w:rFonts w:ascii="Tw Cen MT" w:hAnsi="Tw Cen MT"/>
          <w:color w:val="333333"/>
          <w:sz w:val="16"/>
          <w:szCs w:val="16"/>
          <w:shd w:val="clear" w:color="auto" w:fill="FFFFFF"/>
        </w:rPr>
        <w:t xml:space="preserve">: a </w:t>
      </w:r>
      <w:proofErr w:type="spellStart"/>
      <w:r w:rsidRPr="000D1D77">
        <w:rPr>
          <w:rFonts w:ascii="Tw Cen MT" w:hAnsi="Tw Cen MT"/>
          <w:color w:val="333333"/>
          <w:sz w:val="16"/>
          <w:szCs w:val="16"/>
          <w:shd w:val="clear" w:color="auto" w:fill="FFFFFF"/>
        </w:rPr>
        <w:t>review</w:t>
      </w:r>
      <w:proofErr w:type="spellEnd"/>
      <w:r w:rsidRPr="000D1D77">
        <w:rPr>
          <w:rFonts w:ascii="Tw Cen MT" w:hAnsi="Tw Cen MT"/>
          <w:color w:val="333333"/>
          <w:sz w:val="16"/>
          <w:szCs w:val="16"/>
          <w:shd w:val="clear" w:color="auto" w:fill="FFFFFF"/>
        </w:rPr>
        <w:t xml:space="preserve">. J </w:t>
      </w:r>
      <w:proofErr w:type="spellStart"/>
      <w:r w:rsidRPr="000D1D77">
        <w:rPr>
          <w:rFonts w:ascii="Tw Cen MT" w:hAnsi="Tw Cen MT"/>
          <w:color w:val="333333"/>
          <w:sz w:val="16"/>
          <w:szCs w:val="16"/>
          <w:shd w:val="clear" w:color="auto" w:fill="FFFFFF"/>
        </w:rPr>
        <w:t>Assist</w:t>
      </w:r>
      <w:proofErr w:type="spellEnd"/>
      <w:r w:rsidRPr="000D1D77">
        <w:rPr>
          <w:rFonts w:ascii="Tw Cen MT" w:hAnsi="Tw Cen MT"/>
          <w:color w:val="333333"/>
          <w:sz w:val="16"/>
          <w:szCs w:val="16"/>
          <w:shd w:val="clear" w:color="auto" w:fill="FFFFFF"/>
        </w:rPr>
        <w:t xml:space="preserve"> </w:t>
      </w:r>
      <w:proofErr w:type="spellStart"/>
      <w:r w:rsidRPr="000D1D77">
        <w:rPr>
          <w:rFonts w:ascii="Tw Cen MT" w:hAnsi="Tw Cen MT"/>
          <w:color w:val="333333"/>
          <w:sz w:val="16"/>
          <w:szCs w:val="16"/>
          <w:shd w:val="clear" w:color="auto" w:fill="FFFFFF"/>
        </w:rPr>
        <w:t>Reprod</w:t>
      </w:r>
      <w:proofErr w:type="spellEnd"/>
      <w:r w:rsidRPr="000D1D77">
        <w:rPr>
          <w:rFonts w:ascii="Tw Cen MT" w:hAnsi="Tw Cen MT"/>
          <w:color w:val="333333"/>
          <w:sz w:val="16"/>
          <w:szCs w:val="16"/>
          <w:shd w:val="clear" w:color="auto" w:fill="FFFFFF"/>
        </w:rPr>
        <w:t xml:space="preserve"> Genet. </w:t>
      </w:r>
      <w:proofErr w:type="gramStart"/>
      <w:r w:rsidRPr="000D1D77">
        <w:rPr>
          <w:rFonts w:ascii="Tw Cen MT" w:hAnsi="Tw Cen MT"/>
          <w:color w:val="333333"/>
          <w:sz w:val="16"/>
          <w:szCs w:val="16"/>
          <w:shd w:val="clear" w:color="auto" w:fill="FFFFFF"/>
        </w:rPr>
        <w:t>2019;36:179</w:t>
      </w:r>
      <w:proofErr w:type="gramEnd"/>
      <w:r w:rsidRPr="000D1D77">
        <w:rPr>
          <w:rFonts w:ascii="Tw Cen MT" w:hAnsi="Tw Cen MT"/>
          <w:color w:val="333333"/>
          <w:sz w:val="16"/>
          <w:szCs w:val="16"/>
          <w:shd w:val="clear" w:color="auto" w:fill="FFFFFF"/>
        </w:rPr>
        <w:t>–87.</w:t>
      </w:r>
    </w:p>
    <w:p w14:paraId="38871C7E" w14:textId="77777777" w:rsidR="00AE3E37" w:rsidRPr="008756E6" w:rsidRDefault="00AE3E37" w:rsidP="008756E6">
      <w:pPr>
        <w:tabs>
          <w:tab w:val="left" w:pos="384"/>
        </w:tabs>
        <w:ind w:right="117"/>
      </w:pPr>
    </w:p>
    <w:p w14:paraId="325CE1A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049BDF4" w14:textId="77777777"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14:paraId="1808FDE7"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54CAE5E3" wp14:editId="06E21A6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B77A3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C014C9A"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2B1B61DF" wp14:editId="54865EE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48E486F0" w14:textId="3EF2CDE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6D0A24">
        <w:rPr>
          <w:rFonts w:ascii="Arial"/>
          <w:sz w:val="14"/>
        </w:rPr>
        <w:t xml:space="preserve"> Acuna</w:t>
      </w:r>
      <w:r w:rsidR="0078738A">
        <w:rPr>
          <w:rFonts w:ascii="Arial"/>
          <w:sz w:val="14"/>
        </w:rPr>
        <w:t xml:space="preserve"> </w:t>
      </w:r>
      <w:r>
        <w:rPr>
          <w:rFonts w:ascii="Arial"/>
          <w:sz w:val="14"/>
        </w:rPr>
        <w:t xml:space="preserve">has expertise in evaluation and </w:t>
      </w:r>
      <w:r w:rsidR="006D0A24">
        <w:rPr>
          <w:rFonts w:ascii="Arial"/>
          <w:sz w:val="14"/>
        </w:rPr>
        <w:t>treatment of infertile couples, particularly those participating in In Vitro Fertilization programs in Mexico.</w:t>
      </w:r>
      <w:r w:rsidR="00E11ACD">
        <w:rPr>
          <w:rFonts w:ascii="Arial"/>
          <w:sz w:val="14"/>
        </w:rPr>
        <w:t xml:space="preserve"> His focus of research has been recurrent implantation failure and embryo quality assessment.</w:t>
      </w:r>
      <w:r>
        <w:rPr>
          <w:rFonts w:ascii="Arial"/>
          <w:sz w:val="14"/>
        </w:rPr>
        <w:t xml:space="preserve"> H</w:t>
      </w:r>
      <w:r w:rsidR="00E11ACD">
        <w:rPr>
          <w:rFonts w:ascii="Arial"/>
          <w:sz w:val="14"/>
        </w:rPr>
        <w:t xml:space="preserve">is aim is to develop analytic embryo assessment models in order to offer </w:t>
      </w:r>
      <w:proofErr w:type="spellStart"/>
      <w:r w:rsidR="00E11ACD">
        <w:rPr>
          <w:rFonts w:ascii="Arial"/>
          <w:sz w:val="14"/>
        </w:rPr>
        <w:t>a</w:t>
      </w:r>
      <w:proofErr w:type="spellEnd"/>
      <w:r w:rsidR="00E11ACD">
        <w:rPr>
          <w:rFonts w:ascii="Arial"/>
          <w:sz w:val="14"/>
        </w:rPr>
        <w:t xml:space="preserve"> more accurate prognosis on IVF results to patients based on non-invasive techniques, for example quantification of metabolites in embryo culture media.</w:t>
      </w:r>
    </w:p>
    <w:p w14:paraId="02197A9C" w14:textId="4FD3BD93" w:rsidR="00AE3E37" w:rsidRDefault="00A9710C">
      <w:pPr>
        <w:spacing w:before="62"/>
        <w:ind w:left="4217" w:right="4235"/>
        <w:jc w:val="center"/>
        <w:rPr>
          <w:rFonts w:ascii="Arial"/>
          <w:sz w:val="14"/>
        </w:rPr>
      </w:pPr>
      <w:r>
        <w:rPr>
          <w:rFonts w:ascii="Arial"/>
          <w:sz w:val="14"/>
        </w:rPr>
        <w:t xml:space="preserve">Email: </w:t>
      </w:r>
      <w:hyperlink r:id="rId11" w:history="1">
        <w:r w:rsidR="00E11ACD" w:rsidRPr="00025320">
          <w:rPr>
            <w:rStyle w:val="Hipervnculo"/>
            <w:rFonts w:ascii="Arial"/>
            <w:sz w:val="14"/>
          </w:rPr>
          <w:t>acugyomedik@gmail.com</w:t>
        </w:r>
      </w:hyperlink>
    </w:p>
    <w:p w14:paraId="268168D9" w14:textId="77777777" w:rsidR="00AE3E37" w:rsidRDefault="00292ED9">
      <w:pPr>
        <w:pStyle w:val="Textoindependiente"/>
        <w:spacing w:before="2"/>
        <w:rPr>
          <w:rFonts w:ascii="Arial"/>
          <w:sz w:val="19"/>
        </w:rPr>
      </w:pPr>
      <w:r>
        <w:rPr>
          <w:noProof/>
          <w:lang w:val="en-IN" w:eastAsia="en-IN"/>
        </w:rPr>
        <w:lastRenderedPageBreak/>
        <mc:AlternateContent>
          <mc:Choice Requires="wps">
            <w:drawing>
              <wp:anchor distT="0" distB="0" distL="0" distR="0" simplePos="0" relativeHeight="1072" behindDoc="0" locked="0" layoutInCell="1" allowOverlap="1" wp14:anchorId="41F4D622" wp14:editId="68C7B1F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8FF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DA00CD3" w14:textId="77777777" w:rsidR="00AE3E37" w:rsidRDefault="00AE3E37">
      <w:pPr>
        <w:pStyle w:val="Textoindependiente"/>
        <w:rPr>
          <w:rFonts w:ascii="Arial"/>
          <w:sz w:val="20"/>
        </w:rPr>
      </w:pPr>
    </w:p>
    <w:p w14:paraId="1018C9C8" w14:textId="77777777" w:rsidR="00AE3E37" w:rsidRDefault="00AE3E37">
      <w:pPr>
        <w:pStyle w:val="Textoindependiente"/>
        <w:rPr>
          <w:rFonts w:ascii="Arial"/>
          <w:sz w:val="20"/>
        </w:rPr>
      </w:pPr>
    </w:p>
    <w:p w14:paraId="2201A9F1" w14:textId="77777777" w:rsidR="00AE3E37" w:rsidRDefault="00AE3E37">
      <w:pPr>
        <w:pStyle w:val="Textoindependiente"/>
        <w:spacing w:before="7"/>
        <w:rPr>
          <w:rFonts w:ascii="Arial"/>
          <w:sz w:val="29"/>
        </w:rPr>
      </w:pPr>
    </w:p>
    <w:p w14:paraId="34E14371" w14:textId="77777777" w:rsidR="00AE3E37" w:rsidRPr="00B21A57" w:rsidRDefault="00A9710C">
      <w:pPr>
        <w:spacing w:before="39"/>
        <w:ind w:left="100"/>
        <w:rPr>
          <w:rFonts w:ascii="Minion Pro"/>
          <w:b/>
          <w:sz w:val="20"/>
        </w:rPr>
      </w:pPr>
      <w:r w:rsidRPr="00B21A57">
        <w:rPr>
          <w:rFonts w:ascii="Minion Pro"/>
          <w:b/>
          <w:sz w:val="20"/>
        </w:rPr>
        <w:t>Notes/Comments:</w:t>
      </w:r>
    </w:p>
    <w:p w14:paraId="40E5051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D002DCD"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A886A" w14:textId="77777777" w:rsidR="00631295" w:rsidRDefault="00631295">
      <w:r>
        <w:separator/>
      </w:r>
    </w:p>
  </w:endnote>
  <w:endnote w:type="continuationSeparator" w:id="0">
    <w:p w14:paraId="5B8DD145" w14:textId="77777777" w:rsidR="00631295" w:rsidRDefault="00631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0546B"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2A0F500" wp14:editId="73E3A3F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BC82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BB5D6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A0F50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27BC82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BB5D6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F171A71" wp14:editId="345E69C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2B3E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CD2B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71A7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352B3E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CD2B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50D7D9E" wp14:editId="1198ED5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38EF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5D0092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D7D9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7438EF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5D0092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46DC2" w14:textId="77777777" w:rsidR="00631295" w:rsidRDefault="00631295">
      <w:r>
        <w:separator/>
      </w:r>
    </w:p>
  </w:footnote>
  <w:footnote w:type="continuationSeparator" w:id="0">
    <w:p w14:paraId="7324BE47" w14:textId="77777777" w:rsidR="00631295" w:rsidRDefault="00631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09E7"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AF1B3E7" wp14:editId="558F8CB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50AE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1B3E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2D50AE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F15522A" wp14:editId="6FFE1CB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05CE3"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782C1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5522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7805CE3"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782C1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D1D7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1295"/>
    <w:rsid w:val="0063497F"/>
    <w:rsid w:val="006D0A24"/>
    <w:rsid w:val="0078738A"/>
    <w:rsid w:val="00873DF0"/>
    <w:rsid w:val="008756E6"/>
    <w:rsid w:val="009B2D44"/>
    <w:rsid w:val="00A07E82"/>
    <w:rsid w:val="00A9710C"/>
    <w:rsid w:val="00AE3E37"/>
    <w:rsid w:val="00B21A57"/>
    <w:rsid w:val="00C33602"/>
    <w:rsid w:val="00CD6F55"/>
    <w:rsid w:val="00D62425"/>
    <w:rsid w:val="00DE3104"/>
    <w:rsid w:val="00E11AC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7C6EB"/>
  <w15:docId w15:val="{014ED676-ADE2-49DB-8A42-C0F9EF3AD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E11ACD"/>
    <w:rPr>
      <w:color w:val="605E5C"/>
      <w:shd w:val="clear" w:color="auto" w:fill="E1DFDD"/>
    </w:rPr>
  </w:style>
  <w:style w:type="paragraph" w:customStyle="1" w:styleId="c-article-referencestext">
    <w:name w:val="c-article-references__text"/>
    <w:basedOn w:val="Normal"/>
    <w:rsid w:val="000D1D77"/>
    <w:pPr>
      <w:widowControl/>
      <w:spacing w:before="100" w:beforeAutospacing="1" w:after="100" w:afterAutospacing="1"/>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33218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2649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cugyomedik@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642</Words>
  <Characters>3533</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PC</cp:lastModifiedBy>
  <cp:revision>2</cp:revision>
  <dcterms:created xsi:type="dcterms:W3CDTF">2021-08-30T18:15:00Z</dcterms:created>
  <dcterms:modified xsi:type="dcterms:W3CDTF">2021-08-30T18:15:00Z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