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F831E1" w14:textId="5679FD6D" w:rsidR="00962619" w:rsidRPr="00557821" w:rsidRDefault="00962619" w:rsidP="00557821">
      <w:pPr>
        <w:jc w:val="center"/>
        <w:rPr>
          <w:b/>
          <w:sz w:val="22"/>
          <w:szCs w:val="22"/>
          <w:u w:val="single"/>
          <w:lang w:val="en-AU"/>
        </w:rPr>
      </w:pPr>
      <w:r w:rsidRPr="00557821">
        <w:rPr>
          <w:b/>
          <w:sz w:val="22"/>
          <w:szCs w:val="22"/>
          <w:u w:val="single"/>
          <w:lang w:val="en-AU"/>
        </w:rPr>
        <w:t>Limbic Encephalitis, type 1 D</w:t>
      </w:r>
      <w:r w:rsidR="004D367C">
        <w:rPr>
          <w:b/>
          <w:sz w:val="22"/>
          <w:szCs w:val="22"/>
          <w:u w:val="single"/>
          <w:lang w:val="en-AU"/>
        </w:rPr>
        <w:t xml:space="preserve">iabetes </w:t>
      </w:r>
      <w:r w:rsidRPr="00557821">
        <w:rPr>
          <w:b/>
          <w:sz w:val="22"/>
          <w:szCs w:val="22"/>
          <w:u w:val="single"/>
          <w:lang w:val="en-AU"/>
        </w:rPr>
        <w:t>M</w:t>
      </w:r>
      <w:r w:rsidR="004D367C">
        <w:rPr>
          <w:b/>
          <w:sz w:val="22"/>
          <w:szCs w:val="22"/>
          <w:u w:val="single"/>
          <w:lang w:val="en-AU"/>
        </w:rPr>
        <w:t>ellitus</w:t>
      </w:r>
      <w:r w:rsidRPr="00557821">
        <w:rPr>
          <w:b/>
          <w:sz w:val="22"/>
          <w:szCs w:val="22"/>
          <w:u w:val="single"/>
          <w:lang w:val="en-AU"/>
        </w:rPr>
        <w:t xml:space="preserve"> and GAD65 </w:t>
      </w:r>
      <w:r w:rsidR="00F357F8" w:rsidRPr="00557821">
        <w:rPr>
          <w:b/>
          <w:sz w:val="22"/>
          <w:szCs w:val="22"/>
          <w:u w:val="single"/>
          <w:lang w:val="en-AU"/>
        </w:rPr>
        <w:t>antibodies, have we connected the dots?</w:t>
      </w:r>
    </w:p>
    <w:p w14:paraId="7E9E6B50" w14:textId="77777777" w:rsidR="00962619" w:rsidRPr="00557821" w:rsidRDefault="00962619" w:rsidP="000328C3">
      <w:pPr>
        <w:rPr>
          <w:sz w:val="22"/>
          <w:szCs w:val="22"/>
          <w:lang w:val="en-AU"/>
        </w:rPr>
      </w:pPr>
    </w:p>
    <w:p w14:paraId="41EAA2E9" w14:textId="77777777" w:rsidR="00827228" w:rsidRPr="00557821" w:rsidRDefault="00827228" w:rsidP="00B6328A">
      <w:pPr>
        <w:rPr>
          <w:sz w:val="22"/>
          <w:szCs w:val="22"/>
          <w:lang w:val="en-AU"/>
        </w:rPr>
      </w:pPr>
    </w:p>
    <w:p w14:paraId="08C5253E" w14:textId="77777777" w:rsidR="004D367C" w:rsidRDefault="004D367C" w:rsidP="000328C3">
      <w:pPr>
        <w:rPr>
          <w:sz w:val="22"/>
          <w:szCs w:val="22"/>
          <w:lang w:val="en-AU"/>
        </w:rPr>
      </w:pPr>
      <w:r>
        <w:rPr>
          <w:sz w:val="22"/>
          <w:szCs w:val="22"/>
          <w:lang w:val="en-AU"/>
        </w:rPr>
        <w:t>Abstract:</w:t>
      </w:r>
    </w:p>
    <w:p w14:paraId="3FED43C4" w14:textId="2BABEF21" w:rsidR="004D367C" w:rsidRDefault="004D367C" w:rsidP="000328C3">
      <w:pPr>
        <w:rPr>
          <w:sz w:val="22"/>
          <w:szCs w:val="22"/>
          <w:lang w:val="en-AU"/>
        </w:rPr>
      </w:pPr>
      <w:r w:rsidRPr="00557821">
        <w:rPr>
          <w:sz w:val="22"/>
          <w:szCs w:val="22"/>
        </w:rPr>
        <w:t>Chronic limbic encephalitis can be a major source of morbidity in patients with T1DM. The aim of the case report is to highlight the significance of early identification of signs of memory impairment in patients with T1DM, screening for GAD65antibodies in the CSF and to be aware of the possible association between limbic encephalitis</w:t>
      </w:r>
      <w:r>
        <w:rPr>
          <w:sz w:val="22"/>
          <w:szCs w:val="22"/>
        </w:rPr>
        <w:t>, GAD65 antibodies</w:t>
      </w:r>
      <w:r w:rsidRPr="00557821">
        <w:rPr>
          <w:sz w:val="22"/>
          <w:szCs w:val="22"/>
        </w:rPr>
        <w:t xml:space="preserve"> and Type1 DM.</w:t>
      </w:r>
    </w:p>
    <w:p w14:paraId="0C4D991D" w14:textId="77777777" w:rsidR="004D367C" w:rsidRDefault="004D367C" w:rsidP="000328C3">
      <w:pPr>
        <w:rPr>
          <w:sz w:val="22"/>
          <w:szCs w:val="22"/>
          <w:lang w:val="en-AU"/>
        </w:rPr>
      </w:pPr>
    </w:p>
    <w:p w14:paraId="17F79806" w14:textId="77777777" w:rsidR="004D367C" w:rsidRDefault="004D367C" w:rsidP="000328C3">
      <w:pPr>
        <w:rPr>
          <w:sz w:val="22"/>
          <w:szCs w:val="22"/>
          <w:lang w:val="en-AU"/>
        </w:rPr>
      </w:pPr>
    </w:p>
    <w:p w14:paraId="108FD149" w14:textId="7E018055" w:rsidR="004D367C" w:rsidRDefault="004D367C" w:rsidP="000328C3">
      <w:pPr>
        <w:rPr>
          <w:sz w:val="22"/>
          <w:szCs w:val="22"/>
          <w:lang w:val="en-AU"/>
        </w:rPr>
      </w:pPr>
      <w:r>
        <w:rPr>
          <w:sz w:val="22"/>
          <w:szCs w:val="22"/>
          <w:lang w:val="en-AU"/>
        </w:rPr>
        <w:t xml:space="preserve">Report: </w:t>
      </w:r>
    </w:p>
    <w:p w14:paraId="310068C5" w14:textId="1AA52854" w:rsidR="00950860" w:rsidRPr="00F54ED8" w:rsidRDefault="000328C3" w:rsidP="000328C3">
      <w:pPr>
        <w:rPr>
          <w:sz w:val="22"/>
          <w:szCs w:val="22"/>
          <w:lang w:val="en-AU"/>
        </w:rPr>
      </w:pPr>
      <w:r w:rsidRPr="00557821">
        <w:rPr>
          <w:sz w:val="22"/>
          <w:szCs w:val="22"/>
          <w:lang w:val="en-AU"/>
        </w:rPr>
        <w:t>Limbic encephalitis involves inflammat</w:t>
      </w:r>
      <w:r w:rsidR="00FB7234" w:rsidRPr="00557821">
        <w:rPr>
          <w:sz w:val="22"/>
          <w:szCs w:val="22"/>
          <w:lang w:val="en-AU"/>
        </w:rPr>
        <w:t xml:space="preserve">ion involving the </w:t>
      </w:r>
      <w:r w:rsidRPr="00557821">
        <w:rPr>
          <w:sz w:val="22"/>
          <w:szCs w:val="22"/>
          <w:lang w:val="en-AU"/>
        </w:rPr>
        <w:t>structures of the limbic system (</w:t>
      </w:r>
      <w:r w:rsidR="00962619" w:rsidRPr="00557821">
        <w:rPr>
          <w:sz w:val="22"/>
          <w:szCs w:val="22"/>
          <w:lang w:val="en-AU"/>
        </w:rPr>
        <w:t>e.g.</w:t>
      </w:r>
      <w:r w:rsidR="006651FA" w:rsidRPr="00557821">
        <w:rPr>
          <w:sz w:val="22"/>
          <w:szCs w:val="22"/>
          <w:lang w:val="en-AU"/>
        </w:rPr>
        <w:t xml:space="preserve"> limbic cortex,</w:t>
      </w:r>
      <w:r w:rsidRPr="00557821">
        <w:rPr>
          <w:sz w:val="22"/>
          <w:szCs w:val="22"/>
          <w:lang w:val="en-AU"/>
        </w:rPr>
        <w:t xml:space="preserve"> amygdala, hypothalamus,</w:t>
      </w:r>
      <w:r w:rsidR="006651FA" w:rsidRPr="00557821">
        <w:rPr>
          <w:sz w:val="22"/>
          <w:szCs w:val="22"/>
          <w:lang w:val="en-AU"/>
        </w:rPr>
        <w:t xml:space="preserve"> hippocampus,</w:t>
      </w:r>
      <w:r w:rsidRPr="00557821">
        <w:rPr>
          <w:sz w:val="22"/>
          <w:szCs w:val="22"/>
          <w:lang w:val="en-AU"/>
        </w:rPr>
        <w:t xml:space="preserve"> cingulate </w:t>
      </w:r>
      <w:proofErr w:type="spellStart"/>
      <w:r w:rsidRPr="00557821">
        <w:rPr>
          <w:sz w:val="22"/>
          <w:szCs w:val="22"/>
          <w:lang w:val="en-AU"/>
        </w:rPr>
        <w:t>gyrus</w:t>
      </w:r>
      <w:proofErr w:type="spellEnd"/>
      <w:r w:rsidRPr="00557821">
        <w:rPr>
          <w:sz w:val="22"/>
          <w:szCs w:val="22"/>
          <w:lang w:val="en-AU"/>
        </w:rPr>
        <w:t>,)</w:t>
      </w:r>
      <w:r w:rsidR="00BC3F03" w:rsidRPr="00557821">
        <w:rPr>
          <w:sz w:val="22"/>
          <w:szCs w:val="22"/>
          <w:lang w:val="en-AU"/>
        </w:rPr>
        <w:t xml:space="preserve">. </w:t>
      </w:r>
      <w:r w:rsidR="00FB7234" w:rsidRPr="00557821">
        <w:rPr>
          <w:sz w:val="22"/>
          <w:szCs w:val="22"/>
          <w:lang w:val="en-AU"/>
        </w:rPr>
        <w:t xml:space="preserve">It may be a paraneoplastic phenomenon or a </w:t>
      </w:r>
      <w:r w:rsidR="00F54ED8">
        <w:rPr>
          <w:bCs/>
          <w:sz w:val="22"/>
          <w:szCs w:val="22"/>
          <w:lang w:val="en-AU"/>
        </w:rPr>
        <w:t>sequel</w:t>
      </w:r>
      <w:r w:rsidR="00F54ED8">
        <w:rPr>
          <w:sz w:val="22"/>
          <w:szCs w:val="22"/>
          <w:lang w:val="en-AU"/>
        </w:rPr>
        <w:t xml:space="preserve"> </w:t>
      </w:r>
      <w:r w:rsidR="00FB7234" w:rsidRPr="00557821">
        <w:rPr>
          <w:sz w:val="22"/>
          <w:szCs w:val="22"/>
          <w:lang w:val="en-AU"/>
        </w:rPr>
        <w:t xml:space="preserve">of autoimmune encephalitis. </w:t>
      </w:r>
      <w:r w:rsidR="00827228" w:rsidRPr="00557821">
        <w:rPr>
          <w:sz w:val="22"/>
          <w:szCs w:val="22"/>
          <w:lang w:val="en-AU"/>
        </w:rPr>
        <w:t xml:space="preserve">The </w:t>
      </w:r>
      <w:r w:rsidR="00EA1073" w:rsidRPr="00557821">
        <w:rPr>
          <w:sz w:val="22"/>
          <w:szCs w:val="22"/>
          <w:lang w:val="en-AU"/>
        </w:rPr>
        <w:t>possible association of GAD65 related limbic encephalitis and type 1 DM remains an under reviewed subject. The purpose of this case report and subsequent literature review</w:t>
      </w:r>
      <w:r w:rsidR="004D367C">
        <w:rPr>
          <w:sz w:val="22"/>
          <w:szCs w:val="22"/>
          <w:lang w:val="en-AU"/>
        </w:rPr>
        <w:t>,</w:t>
      </w:r>
      <w:r w:rsidR="00EA1073" w:rsidRPr="00557821">
        <w:rPr>
          <w:sz w:val="22"/>
          <w:szCs w:val="22"/>
          <w:lang w:val="en-AU"/>
        </w:rPr>
        <w:t xml:space="preserve"> is to highlight the possible </w:t>
      </w:r>
      <w:r w:rsidR="004C6000" w:rsidRPr="00557821">
        <w:rPr>
          <w:sz w:val="22"/>
          <w:szCs w:val="22"/>
          <w:lang w:val="en-AU"/>
        </w:rPr>
        <w:t xml:space="preserve">association of limbic encephalitis and </w:t>
      </w:r>
      <w:r w:rsidR="00EA0DBB">
        <w:rPr>
          <w:sz w:val="22"/>
          <w:szCs w:val="22"/>
          <w:lang w:val="en-AU"/>
        </w:rPr>
        <w:t>type1DM</w:t>
      </w:r>
      <w:r w:rsidR="004C6000" w:rsidRPr="00557821">
        <w:rPr>
          <w:sz w:val="22"/>
          <w:szCs w:val="22"/>
          <w:lang w:val="en-AU"/>
        </w:rPr>
        <w:t>, and the need</w:t>
      </w:r>
      <w:r w:rsidR="00EA1073" w:rsidRPr="00557821">
        <w:rPr>
          <w:sz w:val="22"/>
          <w:szCs w:val="22"/>
          <w:lang w:val="en-AU"/>
        </w:rPr>
        <w:t xml:space="preserve"> for early</w:t>
      </w:r>
      <w:r w:rsidR="004C6000" w:rsidRPr="00557821">
        <w:rPr>
          <w:sz w:val="22"/>
          <w:szCs w:val="22"/>
          <w:lang w:val="en-AU"/>
        </w:rPr>
        <w:t xml:space="preserve"> identification and treatment of</w:t>
      </w:r>
      <w:r w:rsidR="00EA1073" w:rsidRPr="00557821">
        <w:rPr>
          <w:sz w:val="22"/>
          <w:szCs w:val="22"/>
          <w:lang w:val="en-AU"/>
        </w:rPr>
        <w:t xml:space="preserve"> patients presenting with anterograde amnesia or seizures in the setting of limbic encephalitis.</w:t>
      </w:r>
    </w:p>
    <w:p w14:paraId="55C5ACA1" w14:textId="77777777" w:rsidR="00B6328A" w:rsidRPr="00557821" w:rsidRDefault="00B6328A" w:rsidP="000328C3">
      <w:pPr>
        <w:rPr>
          <w:sz w:val="22"/>
          <w:szCs w:val="22"/>
        </w:rPr>
      </w:pPr>
    </w:p>
    <w:p w14:paraId="1EDCB01E" w14:textId="5BFFEFB2" w:rsidR="00B6328A" w:rsidRPr="00557821" w:rsidRDefault="00B6328A" w:rsidP="00B6328A">
      <w:pPr>
        <w:rPr>
          <w:sz w:val="22"/>
          <w:szCs w:val="22"/>
          <w:lang w:val="en-AU"/>
        </w:rPr>
      </w:pPr>
      <w:r w:rsidRPr="00557821">
        <w:rPr>
          <w:sz w:val="22"/>
          <w:szCs w:val="22"/>
          <w:lang w:val="en-AU"/>
        </w:rPr>
        <w:t>Case:</w:t>
      </w:r>
    </w:p>
    <w:p w14:paraId="768013E3" w14:textId="60C06AFC" w:rsidR="00CF11C6" w:rsidRPr="00557821" w:rsidRDefault="00B6328A" w:rsidP="00B6328A">
      <w:pPr>
        <w:rPr>
          <w:sz w:val="22"/>
          <w:szCs w:val="22"/>
          <w:lang w:val="en-AU"/>
        </w:rPr>
      </w:pPr>
      <w:r w:rsidRPr="00557821">
        <w:rPr>
          <w:sz w:val="22"/>
          <w:szCs w:val="22"/>
          <w:lang w:val="en-AU"/>
        </w:rPr>
        <w:t>Here</w:t>
      </w:r>
      <w:r w:rsidR="004D367C">
        <w:rPr>
          <w:sz w:val="22"/>
          <w:szCs w:val="22"/>
          <w:lang w:val="en-AU"/>
        </w:rPr>
        <w:t>,</w:t>
      </w:r>
      <w:r w:rsidRPr="00557821">
        <w:rPr>
          <w:sz w:val="22"/>
          <w:szCs w:val="22"/>
          <w:lang w:val="en-AU"/>
        </w:rPr>
        <w:t xml:space="preserve"> we present a case of </w:t>
      </w:r>
      <w:r w:rsidR="00CF11C6" w:rsidRPr="00557821">
        <w:rPr>
          <w:sz w:val="22"/>
          <w:szCs w:val="22"/>
          <w:lang w:val="en-AU"/>
        </w:rPr>
        <w:t xml:space="preserve">a </w:t>
      </w:r>
      <w:proofErr w:type="gramStart"/>
      <w:r w:rsidRPr="00557821">
        <w:rPr>
          <w:sz w:val="22"/>
          <w:szCs w:val="22"/>
          <w:lang w:val="en-AU"/>
        </w:rPr>
        <w:t>21</w:t>
      </w:r>
      <w:r w:rsidR="003D4835" w:rsidRPr="00557821">
        <w:rPr>
          <w:sz w:val="22"/>
          <w:szCs w:val="22"/>
          <w:lang w:val="en-AU"/>
        </w:rPr>
        <w:t xml:space="preserve"> year old</w:t>
      </w:r>
      <w:proofErr w:type="gramEnd"/>
      <w:r w:rsidR="003D4835" w:rsidRPr="00557821">
        <w:rPr>
          <w:sz w:val="22"/>
          <w:szCs w:val="22"/>
          <w:lang w:val="en-AU"/>
        </w:rPr>
        <w:t xml:space="preserve"> indigenous girl</w:t>
      </w:r>
      <w:r w:rsidR="00CF11C6" w:rsidRPr="00557821">
        <w:rPr>
          <w:sz w:val="22"/>
          <w:szCs w:val="22"/>
          <w:lang w:val="en-AU"/>
        </w:rPr>
        <w:t>,</w:t>
      </w:r>
      <w:r w:rsidRPr="00557821">
        <w:rPr>
          <w:sz w:val="22"/>
          <w:szCs w:val="22"/>
          <w:lang w:val="en-AU"/>
        </w:rPr>
        <w:t xml:space="preserve"> who was first brought to the hospital at the age of 15 years, with the complaint of anterograde amnesia</w:t>
      </w:r>
      <w:r w:rsidR="00291268">
        <w:rPr>
          <w:sz w:val="22"/>
          <w:szCs w:val="22"/>
          <w:lang w:val="en-AU"/>
        </w:rPr>
        <w:t xml:space="preserve"> for three to six </w:t>
      </w:r>
      <w:r w:rsidR="003D4835" w:rsidRPr="00557821">
        <w:rPr>
          <w:sz w:val="22"/>
          <w:szCs w:val="22"/>
          <w:lang w:val="en-AU"/>
        </w:rPr>
        <w:t>months</w:t>
      </w:r>
      <w:r w:rsidRPr="00557821">
        <w:rPr>
          <w:sz w:val="22"/>
          <w:szCs w:val="22"/>
          <w:lang w:val="en-AU"/>
        </w:rPr>
        <w:t xml:space="preserve">. </w:t>
      </w:r>
      <w:r w:rsidR="00CF11C6" w:rsidRPr="00557821">
        <w:rPr>
          <w:sz w:val="22"/>
          <w:szCs w:val="22"/>
          <w:lang w:val="en-AU"/>
        </w:rPr>
        <w:t xml:space="preserve"> This is on a background of</w:t>
      </w:r>
      <w:r w:rsidR="003D4835" w:rsidRPr="00557821">
        <w:rPr>
          <w:sz w:val="22"/>
          <w:szCs w:val="22"/>
          <w:lang w:val="en-AU"/>
        </w:rPr>
        <w:t xml:space="preserve"> T1DM and hypothyroidism</w:t>
      </w:r>
      <w:r w:rsidR="00CF11C6" w:rsidRPr="00557821">
        <w:rPr>
          <w:sz w:val="22"/>
          <w:szCs w:val="22"/>
          <w:lang w:val="en-AU"/>
        </w:rPr>
        <w:t>, diagnosed</w:t>
      </w:r>
      <w:r w:rsidR="00291268">
        <w:rPr>
          <w:sz w:val="22"/>
          <w:szCs w:val="22"/>
          <w:lang w:val="en-AU"/>
        </w:rPr>
        <w:t xml:space="preserve"> at the age of two. </w:t>
      </w:r>
      <w:r w:rsidR="00CF11C6" w:rsidRPr="00557821">
        <w:rPr>
          <w:sz w:val="22"/>
          <w:szCs w:val="22"/>
          <w:lang w:val="en-AU"/>
        </w:rPr>
        <w:t>Patient had poor</w:t>
      </w:r>
      <w:r w:rsidR="003D4835" w:rsidRPr="00557821">
        <w:rPr>
          <w:sz w:val="22"/>
          <w:szCs w:val="22"/>
          <w:lang w:val="en-AU"/>
        </w:rPr>
        <w:t xml:space="preserve"> glycaemic control on a background of erratic social life. </w:t>
      </w:r>
      <w:r w:rsidR="00CF11C6" w:rsidRPr="00557821">
        <w:rPr>
          <w:sz w:val="22"/>
          <w:szCs w:val="22"/>
          <w:lang w:val="en-AU"/>
        </w:rPr>
        <w:t xml:space="preserve"> Patient also reported visual hallucinations at one point. Nil behaviour and mood disturbances were documented at the time. </w:t>
      </w:r>
    </w:p>
    <w:p w14:paraId="373B80FA" w14:textId="77777777" w:rsidR="00CF11C6" w:rsidRPr="00557821" w:rsidRDefault="00CF11C6" w:rsidP="00B6328A">
      <w:pPr>
        <w:rPr>
          <w:sz w:val="22"/>
          <w:szCs w:val="22"/>
          <w:lang w:val="en-AU"/>
        </w:rPr>
      </w:pPr>
    </w:p>
    <w:p w14:paraId="555FC9AA" w14:textId="069A781B" w:rsidR="00CC37D8" w:rsidRPr="00557821" w:rsidRDefault="00CF11C6" w:rsidP="00B6328A">
      <w:pPr>
        <w:rPr>
          <w:sz w:val="22"/>
          <w:szCs w:val="22"/>
          <w:lang w:val="en-AU"/>
        </w:rPr>
      </w:pPr>
      <w:r w:rsidRPr="00557821">
        <w:rPr>
          <w:sz w:val="22"/>
          <w:szCs w:val="22"/>
          <w:lang w:val="en-AU"/>
        </w:rPr>
        <w:t xml:space="preserve">Anterograde amnesia was thoroughly investigated. </w:t>
      </w:r>
      <w:r w:rsidR="003D4835" w:rsidRPr="00557821">
        <w:rPr>
          <w:sz w:val="22"/>
          <w:szCs w:val="22"/>
          <w:lang w:val="en-AU"/>
        </w:rPr>
        <w:t>MRI showed marked atrophy involving both hippo</w:t>
      </w:r>
      <w:r w:rsidR="00CC37D8" w:rsidRPr="00557821">
        <w:rPr>
          <w:sz w:val="22"/>
          <w:szCs w:val="22"/>
          <w:lang w:val="en-AU"/>
        </w:rPr>
        <w:t xml:space="preserve">campi and temporal lobes; </w:t>
      </w:r>
      <w:r w:rsidR="003D4835" w:rsidRPr="00557821">
        <w:rPr>
          <w:sz w:val="22"/>
          <w:szCs w:val="22"/>
          <w:lang w:val="en-AU"/>
        </w:rPr>
        <w:t>nil change</w:t>
      </w:r>
      <w:r w:rsidRPr="00557821">
        <w:rPr>
          <w:sz w:val="22"/>
          <w:szCs w:val="22"/>
          <w:lang w:val="en-AU"/>
        </w:rPr>
        <w:t>s with contrast</w:t>
      </w:r>
      <w:r w:rsidR="004C6000" w:rsidRPr="00557821">
        <w:rPr>
          <w:sz w:val="22"/>
          <w:szCs w:val="22"/>
          <w:lang w:val="en-AU"/>
        </w:rPr>
        <w:t xml:space="preserve"> were seen</w:t>
      </w:r>
      <w:r w:rsidRPr="00557821">
        <w:rPr>
          <w:sz w:val="22"/>
          <w:szCs w:val="22"/>
          <w:lang w:val="en-AU"/>
        </w:rPr>
        <w:t>. EEG was unremarkable</w:t>
      </w:r>
      <w:r w:rsidR="003D4835" w:rsidRPr="00557821">
        <w:rPr>
          <w:sz w:val="22"/>
          <w:szCs w:val="22"/>
          <w:lang w:val="en-AU"/>
        </w:rPr>
        <w:t xml:space="preserve">. Lumber puncture was positive for oligoclonal bands. GAD65 antibodies were not tested in the CSF. Anti-Hu, Anti </w:t>
      </w:r>
      <w:proofErr w:type="spellStart"/>
      <w:r w:rsidR="003D4835" w:rsidRPr="00557821">
        <w:rPr>
          <w:sz w:val="22"/>
          <w:szCs w:val="22"/>
          <w:lang w:val="en-AU"/>
        </w:rPr>
        <w:t>yo</w:t>
      </w:r>
      <w:proofErr w:type="spellEnd"/>
      <w:r w:rsidR="003D4835" w:rsidRPr="00557821">
        <w:rPr>
          <w:sz w:val="22"/>
          <w:szCs w:val="22"/>
          <w:lang w:val="en-AU"/>
        </w:rPr>
        <w:t xml:space="preserve">, anti </w:t>
      </w:r>
      <w:proofErr w:type="spellStart"/>
      <w:r w:rsidR="003D4835" w:rsidRPr="00557821">
        <w:rPr>
          <w:sz w:val="22"/>
          <w:szCs w:val="22"/>
          <w:lang w:val="en-AU"/>
        </w:rPr>
        <w:t>Ri</w:t>
      </w:r>
      <w:proofErr w:type="spellEnd"/>
      <w:r w:rsidR="003D4835" w:rsidRPr="00557821">
        <w:rPr>
          <w:sz w:val="22"/>
          <w:szCs w:val="22"/>
          <w:lang w:val="en-AU"/>
        </w:rPr>
        <w:t xml:space="preserve"> antibodies were negative. Nil </w:t>
      </w:r>
      <w:r w:rsidRPr="00557821">
        <w:rPr>
          <w:sz w:val="22"/>
          <w:szCs w:val="22"/>
          <w:lang w:val="en-AU"/>
        </w:rPr>
        <w:t>evidence</w:t>
      </w:r>
      <w:r w:rsidR="003D4835" w:rsidRPr="00557821">
        <w:rPr>
          <w:sz w:val="22"/>
          <w:szCs w:val="22"/>
          <w:lang w:val="en-AU"/>
        </w:rPr>
        <w:t xml:space="preserve"> of malignancy could be found and a diagnosis of chronic limbic encephalitis</w:t>
      </w:r>
      <w:r w:rsidRPr="00557821">
        <w:rPr>
          <w:sz w:val="22"/>
          <w:szCs w:val="22"/>
          <w:lang w:val="en-AU"/>
        </w:rPr>
        <w:t xml:space="preserve"> likely secondary to autoimmune process</w:t>
      </w:r>
      <w:r w:rsidR="003D4835" w:rsidRPr="00557821">
        <w:rPr>
          <w:sz w:val="22"/>
          <w:szCs w:val="22"/>
          <w:lang w:val="en-AU"/>
        </w:rPr>
        <w:t xml:space="preserve"> was made. She was treated with 3 days of IV </w:t>
      </w:r>
      <w:r w:rsidR="000D1BA1" w:rsidRPr="00557821">
        <w:rPr>
          <w:sz w:val="22"/>
          <w:szCs w:val="22"/>
          <w:lang w:val="en-AU"/>
        </w:rPr>
        <w:t>immunoglobulin</w:t>
      </w:r>
      <w:r w:rsidR="003D4835" w:rsidRPr="00557821">
        <w:rPr>
          <w:sz w:val="22"/>
          <w:szCs w:val="22"/>
          <w:lang w:val="en-AU"/>
        </w:rPr>
        <w:t xml:space="preserve"> and methylprednisolone with nil significant improvement.</w:t>
      </w:r>
      <w:r w:rsidR="00EA0DBB">
        <w:rPr>
          <w:sz w:val="22"/>
          <w:szCs w:val="22"/>
          <w:lang w:val="en-AU"/>
        </w:rPr>
        <w:t xml:space="preserve"> She was discharged with </w:t>
      </w:r>
      <w:r w:rsidR="000D1BA1">
        <w:rPr>
          <w:sz w:val="22"/>
          <w:szCs w:val="22"/>
          <w:lang w:val="en-AU"/>
        </w:rPr>
        <w:t>follow-up</w:t>
      </w:r>
      <w:r w:rsidR="00EA0DBB">
        <w:rPr>
          <w:sz w:val="22"/>
          <w:szCs w:val="22"/>
          <w:lang w:val="en-AU"/>
        </w:rPr>
        <w:t xml:space="preserve"> in memory clinic and establishing several supports in place. </w:t>
      </w:r>
      <w:r w:rsidR="000D1BA1">
        <w:rPr>
          <w:sz w:val="22"/>
          <w:szCs w:val="22"/>
          <w:lang w:val="en-AU"/>
        </w:rPr>
        <w:t xml:space="preserve">Patient </w:t>
      </w:r>
      <w:r w:rsidR="000D1BA1" w:rsidRPr="00557821">
        <w:rPr>
          <w:sz w:val="22"/>
          <w:szCs w:val="22"/>
          <w:lang w:val="en-AU"/>
        </w:rPr>
        <w:t>had</w:t>
      </w:r>
      <w:r w:rsidRPr="00557821">
        <w:rPr>
          <w:sz w:val="22"/>
          <w:szCs w:val="22"/>
          <w:lang w:val="en-AU"/>
        </w:rPr>
        <w:t xml:space="preserve"> a second hospital admission </w:t>
      </w:r>
      <w:r w:rsidR="00CC37D8" w:rsidRPr="00557821">
        <w:rPr>
          <w:sz w:val="22"/>
          <w:szCs w:val="22"/>
          <w:lang w:val="en-AU"/>
        </w:rPr>
        <w:t>for</w:t>
      </w:r>
      <w:r w:rsidRPr="00557821">
        <w:rPr>
          <w:sz w:val="22"/>
          <w:szCs w:val="22"/>
          <w:lang w:val="en-AU"/>
        </w:rPr>
        <w:t xml:space="preserve"> anterograde amnesia</w:t>
      </w:r>
      <w:r w:rsidR="00CC37D8" w:rsidRPr="00557821">
        <w:rPr>
          <w:sz w:val="22"/>
          <w:szCs w:val="22"/>
          <w:lang w:val="en-AU"/>
        </w:rPr>
        <w:t xml:space="preserve">, 5 months after the first admission. </w:t>
      </w:r>
      <w:r w:rsidRPr="00557821">
        <w:rPr>
          <w:sz w:val="22"/>
          <w:szCs w:val="22"/>
          <w:lang w:val="en-AU"/>
        </w:rPr>
        <w:t xml:space="preserve">Nil new findings were </w:t>
      </w:r>
      <w:r w:rsidR="004C6000" w:rsidRPr="00557821">
        <w:rPr>
          <w:sz w:val="22"/>
          <w:szCs w:val="22"/>
          <w:lang w:val="en-AU"/>
        </w:rPr>
        <w:t>identified</w:t>
      </w:r>
      <w:r w:rsidRPr="00557821">
        <w:rPr>
          <w:sz w:val="22"/>
          <w:szCs w:val="22"/>
          <w:lang w:val="en-AU"/>
        </w:rPr>
        <w:t xml:space="preserve">. It was advised that </w:t>
      </w:r>
      <w:r w:rsidR="00CC37D8" w:rsidRPr="00557821">
        <w:rPr>
          <w:sz w:val="22"/>
          <w:szCs w:val="22"/>
          <w:lang w:val="en-AU"/>
        </w:rPr>
        <w:t>the disease was</w:t>
      </w:r>
      <w:r w:rsidRPr="00557821">
        <w:rPr>
          <w:sz w:val="22"/>
          <w:szCs w:val="22"/>
          <w:lang w:val="en-AU"/>
        </w:rPr>
        <w:t xml:space="preserve"> likely a pervasive and </w:t>
      </w:r>
      <w:r w:rsidR="00EA1073" w:rsidRPr="00557821">
        <w:rPr>
          <w:sz w:val="22"/>
          <w:szCs w:val="22"/>
          <w:lang w:val="en-AU"/>
        </w:rPr>
        <w:t>non</w:t>
      </w:r>
      <w:r w:rsidRPr="00557821">
        <w:rPr>
          <w:sz w:val="22"/>
          <w:szCs w:val="22"/>
          <w:lang w:val="en-AU"/>
        </w:rPr>
        <w:t xml:space="preserve">remitting </w:t>
      </w:r>
      <w:r w:rsidR="00CC37D8" w:rsidRPr="00557821">
        <w:rPr>
          <w:sz w:val="22"/>
          <w:szCs w:val="22"/>
          <w:lang w:val="en-AU"/>
        </w:rPr>
        <w:t xml:space="preserve">process and nil </w:t>
      </w:r>
      <w:proofErr w:type="gramStart"/>
      <w:r w:rsidR="00CC37D8" w:rsidRPr="00557821">
        <w:rPr>
          <w:sz w:val="22"/>
          <w:szCs w:val="22"/>
          <w:lang w:val="en-AU"/>
        </w:rPr>
        <w:t>lon</w:t>
      </w:r>
      <w:r w:rsidR="004C6000" w:rsidRPr="00557821">
        <w:rPr>
          <w:sz w:val="22"/>
          <w:szCs w:val="22"/>
          <w:lang w:val="en-AU"/>
        </w:rPr>
        <w:t>g term</w:t>
      </w:r>
      <w:proofErr w:type="gramEnd"/>
      <w:r w:rsidR="004C6000" w:rsidRPr="00557821">
        <w:rPr>
          <w:sz w:val="22"/>
          <w:szCs w:val="22"/>
          <w:lang w:val="en-AU"/>
        </w:rPr>
        <w:t xml:space="preserve"> improvement was expected. The 2</w:t>
      </w:r>
      <w:r w:rsidR="004C6000" w:rsidRPr="00557821">
        <w:rPr>
          <w:sz w:val="22"/>
          <w:szCs w:val="22"/>
          <w:vertAlign w:val="superscript"/>
          <w:lang w:val="en-AU"/>
        </w:rPr>
        <w:t>nd</w:t>
      </w:r>
      <w:r w:rsidR="004C6000" w:rsidRPr="00557821">
        <w:rPr>
          <w:sz w:val="22"/>
          <w:szCs w:val="22"/>
          <w:lang w:val="en-AU"/>
        </w:rPr>
        <w:t xml:space="preserve"> Lumber puncture </w:t>
      </w:r>
      <w:r w:rsidR="00EA0DBB">
        <w:rPr>
          <w:sz w:val="22"/>
          <w:szCs w:val="22"/>
          <w:lang w:val="en-AU"/>
        </w:rPr>
        <w:t>had GAD65 antibodies reported</w:t>
      </w:r>
      <w:r w:rsidR="004C6000" w:rsidRPr="00557821">
        <w:rPr>
          <w:sz w:val="22"/>
          <w:szCs w:val="22"/>
          <w:lang w:val="en-AU"/>
        </w:rPr>
        <w:t xml:space="preserve"> </w:t>
      </w:r>
    </w:p>
    <w:p w14:paraId="5F1B55D4" w14:textId="77777777" w:rsidR="00CC37D8" w:rsidRPr="00557821" w:rsidRDefault="00CC37D8" w:rsidP="00B6328A">
      <w:pPr>
        <w:rPr>
          <w:sz w:val="22"/>
          <w:szCs w:val="22"/>
          <w:lang w:val="en-AU"/>
        </w:rPr>
      </w:pPr>
    </w:p>
    <w:p w14:paraId="629D83AB" w14:textId="0B11F109" w:rsidR="003D4835" w:rsidRPr="00557821" w:rsidRDefault="00CC37D8" w:rsidP="00B6328A">
      <w:pPr>
        <w:rPr>
          <w:sz w:val="22"/>
          <w:szCs w:val="22"/>
          <w:lang w:val="en-AU"/>
        </w:rPr>
      </w:pPr>
      <w:r w:rsidRPr="00557821">
        <w:rPr>
          <w:sz w:val="22"/>
          <w:szCs w:val="22"/>
          <w:lang w:val="en-AU"/>
        </w:rPr>
        <w:t>Since then the patient has had several admi</w:t>
      </w:r>
      <w:r w:rsidR="00EA1073" w:rsidRPr="00557821">
        <w:rPr>
          <w:sz w:val="22"/>
          <w:szCs w:val="22"/>
          <w:lang w:val="en-AU"/>
        </w:rPr>
        <w:t>ssions for DKA in the setting of</w:t>
      </w:r>
      <w:r w:rsidRPr="00557821">
        <w:rPr>
          <w:sz w:val="22"/>
          <w:szCs w:val="22"/>
          <w:lang w:val="en-AU"/>
        </w:rPr>
        <w:t xml:space="preserve"> poor compliance with insulin. Anterograde amnesia continues to be an issue. Moreover, labile mood with emotional outburst is now a very prominent part of the presentation.  </w:t>
      </w:r>
      <w:r w:rsidR="00CF11C6" w:rsidRPr="00557821">
        <w:rPr>
          <w:sz w:val="22"/>
          <w:szCs w:val="22"/>
          <w:lang w:val="en-AU"/>
        </w:rPr>
        <w:t xml:space="preserve"> </w:t>
      </w:r>
    </w:p>
    <w:p w14:paraId="2A2C82BB" w14:textId="77777777" w:rsidR="00827228" w:rsidRPr="00557821" w:rsidRDefault="00827228" w:rsidP="00827228">
      <w:pPr>
        <w:rPr>
          <w:sz w:val="22"/>
          <w:szCs w:val="22"/>
          <w:lang w:val="en-AU"/>
        </w:rPr>
      </w:pPr>
    </w:p>
    <w:p w14:paraId="6D7A8F53" w14:textId="2A1FBBE0" w:rsidR="00827228" w:rsidRPr="00557821" w:rsidRDefault="00EA1073" w:rsidP="00827228">
      <w:pPr>
        <w:rPr>
          <w:sz w:val="22"/>
          <w:szCs w:val="22"/>
        </w:rPr>
      </w:pPr>
      <w:r w:rsidRPr="00557821">
        <w:rPr>
          <w:sz w:val="22"/>
          <w:szCs w:val="22"/>
          <w:lang w:val="en-AU"/>
        </w:rPr>
        <w:t>Discussion:</w:t>
      </w:r>
    </w:p>
    <w:p w14:paraId="5824F580" w14:textId="77777777" w:rsidR="00827228" w:rsidRPr="00557821" w:rsidRDefault="00827228" w:rsidP="00827228">
      <w:pPr>
        <w:rPr>
          <w:sz w:val="22"/>
          <w:szCs w:val="22"/>
        </w:rPr>
      </w:pPr>
      <w:r w:rsidRPr="00557821">
        <w:rPr>
          <w:sz w:val="22"/>
          <w:szCs w:val="22"/>
          <w:lang w:val="en-AU"/>
        </w:rPr>
        <w:t xml:space="preserve">The </w:t>
      </w:r>
      <w:r w:rsidRPr="00557821">
        <w:rPr>
          <w:sz w:val="22"/>
          <w:szCs w:val="22"/>
        </w:rPr>
        <w:t xml:space="preserve">presentation of patients with limbic encephalitis can range from amnesia, cognitive impairment, seizures, and agitation to mood and behavior changes. Gagnon and Savrd, with a review of 58 cases of limbic encephalitis, demonstrated that the most common presentation in patients with LE was seizures, followed by anterograde amnesia. </w:t>
      </w:r>
      <w:r w:rsidRPr="00557821">
        <w:rPr>
          <w:sz w:val="22"/>
          <w:szCs w:val="22"/>
          <w:vertAlign w:val="superscript"/>
        </w:rPr>
        <w:t>(1)</w:t>
      </w:r>
    </w:p>
    <w:p w14:paraId="1CEB23A4" w14:textId="77777777" w:rsidR="00827228" w:rsidRPr="00557821" w:rsidRDefault="00827228" w:rsidP="00827228">
      <w:pPr>
        <w:rPr>
          <w:sz w:val="22"/>
          <w:szCs w:val="22"/>
        </w:rPr>
      </w:pPr>
    </w:p>
    <w:p w14:paraId="03C312E3" w14:textId="008EF64B" w:rsidR="00827228" w:rsidRPr="00557821" w:rsidRDefault="00827228" w:rsidP="00827228">
      <w:pPr>
        <w:rPr>
          <w:rFonts w:ascii="Times New Roman" w:eastAsia="Times New Roman" w:hAnsi="Times New Roman" w:cs="Times New Roman"/>
          <w:color w:val="000000"/>
          <w:sz w:val="22"/>
          <w:szCs w:val="22"/>
          <w:shd w:val="clear" w:color="auto" w:fill="FFFFFF"/>
          <w:lang w:val="en-AU"/>
        </w:rPr>
      </w:pPr>
      <w:r w:rsidRPr="00557821">
        <w:rPr>
          <w:sz w:val="22"/>
          <w:szCs w:val="22"/>
        </w:rPr>
        <w:lastRenderedPageBreak/>
        <w:t xml:space="preserve">Association of GAD65 antibodies to limbic encephalitis has been reported in several case </w:t>
      </w:r>
      <w:proofErr w:type="gramStart"/>
      <w:r w:rsidRPr="00557821">
        <w:rPr>
          <w:sz w:val="22"/>
          <w:szCs w:val="22"/>
        </w:rPr>
        <w:t>reports</w:t>
      </w:r>
      <w:r w:rsidR="00EA1073" w:rsidRPr="00557821">
        <w:rPr>
          <w:sz w:val="22"/>
          <w:szCs w:val="22"/>
          <w:vertAlign w:val="superscript"/>
        </w:rPr>
        <w:t>(</w:t>
      </w:r>
      <w:proofErr w:type="gramEnd"/>
      <w:r w:rsidR="00EA1073" w:rsidRPr="00557821">
        <w:rPr>
          <w:sz w:val="22"/>
          <w:szCs w:val="22"/>
          <w:vertAlign w:val="superscript"/>
        </w:rPr>
        <w:t>1)(6)(7)</w:t>
      </w:r>
      <w:r w:rsidRPr="00557821">
        <w:rPr>
          <w:sz w:val="22"/>
          <w:szCs w:val="22"/>
          <w:vertAlign w:val="superscript"/>
        </w:rPr>
        <w:t xml:space="preserve">. </w:t>
      </w:r>
      <w:r w:rsidRPr="00557821">
        <w:rPr>
          <w:sz w:val="22"/>
          <w:szCs w:val="22"/>
        </w:rPr>
        <w:t>Although the pathophysiology of GAD65 autoimmune encephalitis has been under debate, the most commonly accepted mechanism remains the inhibition of enzyme GAD65</w:t>
      </w:r>
      <w:r w:rsidR="004C6000" w:rsidRPr="00557821">
        <w:rPr>
          <w:sz w:val="22"/>
          <w:szCs w:val="22"/>
        </w:rPr>
        <w:t xml:space="preserve"> in the CNS</w:t>
      </w:r>
      <w:r w:rsidRPr="00557821">
        <w:rPr>
          <w:sz w:val="22"/>
          <w:szCs w:val="22"/>
        </w:rPr>
        <w:t xml:space="preserve"> by the autoantibodies, resulting in reduced conversion of glutamate into GABA. GABA is widely used in the central nervous system as an inhibitory neurotransmitter. This reduction in the synthesis of </w:t>
      </w:r>
      <w:proofErr w:type="gramStart"/>
      <w:r w:rsidRPr="00557821">
        <w:rPr>
          <w:sz w:val="22"/>
          <w:szCs w:val="22"/>
        </w:rPr>
        <w:t>GABA ,</w:t>
      </w:r>
      <w:proofErr w:type="gramEnd"/>
      <w:r w:rsidRPr="00557821">
        <w:rPr>
          <w:sz w:val="22"/>
          <w:szCs w:val="22"/>
        </w:rPr>
        <w:t xml:space="preserve"> with or without reduction in the release of GABAergic presynaptic vesicles,  tips the balance,</w:t>
      </w:r>
      <w:r w:rsidRPr="00557821">
        <w:rPr>
          <w:rFonts w:ascii="Times New Roman" w:eastAsia="Times New Roman" w:hAnsi="Times New Roman" w:cs="Times New Roman"/>
          <w:color w:val="000000"/>
          <w:sz w:val="22"/>
          <w:szCs w:val="22"/>
          <w:shd w:val="clear" w:color="auto" w:fill="FFFFFF"/>
          <w:lang w:val="en-AU"/>
        </w:rPr>
        <w:t xml:space="preserve"> augmenting the dominance of excitatory neurotransmitters. </w:t>
      </w:r>
      <w:r w:rsidRPr="00557821">
        <w:rPr>
          <w:rFonts w:ascii="Times New Roman" w:eastAsia="Times New Roman" w:hAnsi="Times New Roman" w:cs="Times New Roman"/>
          <w:color w:val="000000"/>
          <w:sz w:val="22"/>
          <w:szCs w:val="22"/>
          <w:shd w:val="clear" w:color="auto" w:fill="FFFFFF"/>
          <w:vertAlign w:val="superscript"/>
          <w:lang w:val="en-AU"/>
        </w:rPr>
        <w:t>(2)</w:t>
      </w:r>
      <w:r w:rsidRPr="00557821">
        <w:rPr>
          <w:rFonts w:ascii="Arial" w:eastAsia="Times New Roman" w:hAnsi="Arial" w:cs="Arial"/>
          <w:i/>
          <w:iCs/>
          <w:color w:val="303030"/>
          <w:sz w:val="22"/>
          <w:szCs w:val="22"/>
          <w:lang w:val="en-AU"/>
        </w:rPr>
        <w:t xml:space="preserve">, </w:t>
      </w:r>
      <w:r w:rsidRPr="00557821">
        <w:rPr>
          <w:rFonts w:ascii="Times New Roman" w:eastAsia="Times New Roman" w:hAnsi="Times New Roman" w:cs="Times New Roman"/>
          <w:color w:val="000000"/>
          <w:sz w:val="22"/>
          <w:szCs w:val="22"/>
          <w:shd w:val="clear" w:color="auto" w:fill="FFFFFF"/>
          <w:lang w:val="en-AU"/>
        </w:rPr>
        <w:t>precipitating epileptogenic activity.</w:t>
      </w:r>
    </w:p>
    <w:p w14:paraId="6DB84CCD" w14:textId="77777777" w:rsidR="00827228" w:rsidRPr="00557821" w:rsidRDefault="00827228" w:rsidP="00827228">
      <w:pPr>
        <w:rPr>
          <w:rFonts w:ascii="Times New Roman" w:eastAsia="Times New Roman" w:hAnsi="Times New Roman" w:cs="Times New Roman"/>
          <w:color w:val="000000"/>
          <w:sz w:val="22"/>
          <w:szCs w:val="22"/>
          <w:shd w:val="clear" w:color="auto" w:fill="FFFFFF"/>
          <w:lang w:val="en-AU"/>
        </w:rPr>
      </w:pPr>
    </w:p>
    <w:p w14:paraId="52675978" w14:textId="63A04AEA" w:rsidR="00827228" w:rsidRPr="00557821" w:rsidRDefault="00AB621C" w:rsidP="00AB621C">
      <w:pPr>
        <w:rPr>
          <w:sz w:val="22"/>
          <w:szCs w:val="22"/>
          <w:lang w:val="en-AU"/>
        </w:rPr>
      </w:pPr>
      <w:proofErr w:type="spellStart"/>
      <w:r w:rsidRPr="00557821">
        <w:rPr>
          <w:sz w:val="22"/>
          <w:szCs w:val="22"/>
          <w:lang w:val="en-AU"/>
        </w:rPr>
        <w:t>Malter</w:t>
      </w:r>
      <w:proofErr w:type="spellEnd"/>
      <w:r w:rsidRPr="00557821">
        <w:rPr>
          <w:sz w:val="22"/>
          <w:szCs w:val="22"/>
          <w:lang w:val="en-AU"/>
        </w:rPr>
        <w:t xml:space="preserve"> et </w:t>
      </w:r>
      <w:proofErr w:type="gramStart"/>
      <w:r w:rsidRPr="00557821">
        <w:rPr>
          <w:sz w:val="22"/>
          <w:szCs w:val="22"/>
          <w:lang w:val="en-AU"/>
        </w:rPr>
        <w:t>al</w:t>
      </w:r>
      <w:r w:rsidRPr="00557821">
        <w:rPr>
          <w:sz w:val="22"/>
          <w:szCs w:val="22"/>
          <w:vertAlign w:val="superscript"/>
          <w:lang w:val="en-AU"/>
        </w:rPr>
        <w:t>(</w:t>
      </w:r>
      <w:proofErr w:type="gramEnd"/>
      <w:r w:rsidRPr="00557821">
        <w:rPr>
          <w:sz w:val="22"/>
          <w:szCs w:val="22"/>
          <w:vertAlign w:val="superscript"/>
          <w:lang w:val="en-AU"/>
        </w:rPr>
        <w:t>8)</w:t>
      </w:r>
      <w:r w:rsidRPr="00557821">
        <w:rPr>
          <w:sz w:val="22"/>
          <w:szCs w:val="22"/>
          <w:lang w:val="en-AU"/>
        </w:rPr>
        <w:t xml:space="preserve"> reviewed 138 cases of limbic encephalitis with positive GAD65 antibodies and concluded that markedly elevated GAD65 antibodies define a form of non paraneoplastic LE. Akın et al </w:t>
      </w:r>
      <w:r w:rsidRPr="00557821">
        <w:rPr>
          <w:sz w:val="22"/>
          <w:szCs w:val="22"/>
          <w:vertAlign w:val="superscript"/>
          <w:lang w:val="en-AU"/>
        </w:rPr>
        <w:t>(9</w:t>
      </w:r>
      <w:proofErr w:type="gramStart"/>
      <w:r w:rsidRPr="00557821">
        <w:rPr>
          <w:sz w:val="22"/>
          <w:szCs w:val="22"/>
          <w:vertAlign w:val="superscript"/>
          <w:lang w:val="en-AU"/>
        </w:rPr>
        <w:t xml:space="preserve">)  </w:t>
      </w:r>
      <w:r w:rsidRPr="00557821">
        <w:rPr>
          <w:sz w:val="22"/>
          <w:szCs w:val="22"/>
          <w:lang w:val="en-AU"/>
        </w:rPr>
        <w:t>reported</w:t>
      </w:r>
      <w:proofErr w:type="gramEnd"/>
      <w:r w:rsidRPr="00557821">
        <w:rPr>
          <w:sz w:val="22"/>
          <w:szCs w:val="22"/>
          <w:lang w:val="en-AU"/>
        </w:rPr>
        <w:t xml:space="preserve"> a case of a 16 year old boy who was diagnosed with T1DM, six months after being admitted for an episode of limbic encephalitis</w:t>
      </w:r>
      <w:r w:rsidR="00EA0DBB">
        <w:rPr>
          <w:sz w:val="22"/>
          <w:szCs w:val="22"/>
          <w:lang w:val="en-AU"/>
        </w:rPr>
        <w:t xml:space="preserve"> with positive GAD65 antibodies in the CSF</w:t>
      </w:r>
      <w:r w:rsidRPr="00557821">
        <w:rPr>
          <w:sz w:val="22"/>
          <w:szCs w:val="22"/>
          <w:lang w:val="en-AU"/>
        </w:rPr>
        <w:t xml:space="preserve">. </w:t>
      </w:r>
      <w:r w:rsidR="00827228" w:rsidRPr="00557821">
        <w:rPr>
          <w:sz w:val="22"/>
          <w:szCs w:val="22"/>
          <w:lang w:val="en-AU"/>
        </w:rPr>
        <w:t>Elevated antibody titres of </w:t>
      </w:r>
      <w:r w:rsidR="00827228" w:rsidRPr="00557821">
        <w:rPr>
          <w:bCs/>
          <w:sz w:val="22"/>
          <w:szCs w:val="22"/>
          <w:lang w:val="en-AU"/>
        </w:rPr>
        <w:t>GAD65 antibodies in the CSF</w:t>
      </w:r>
      <w:r w:rsidR="00827228" w:rsidRPr="00557821">
        <w:rPr>
          <w:sz w:val="22"/>
          <w:szCs w:val="22"/>
          <w:lang w:val="en-AU"/>
        </w:rPr>
        <w:t xml:space="preserve"> are also associated with other neurological presentations including epilepsy, cerebellar ataxia and stiff-person-syndrome. Low titres of serum GAD antibodies may be seen in healthy individuals and account for up to 80% of patients with type 1 diabetes mellitus. </w:t>
      </w:r>
      <w:r w:rsidR="00827228" w:rsidRPr="00557821">
        <w:rPr>
          <w:sz w:val="22"/>
          <w:szCs w:val="22"/>
          <w:vertAlign w:val="superscript"/>
          <w:lang w:val="en-AU"/>
        </w:rPr>
        <w:t>(</w:t>
      </w:r>
      <w:proofErr w:type="gramStart"/>
      <w:r w:rsidR="00827228" w:rsidRPr="00557821">
        <w:rPr>
          <w:sz w:val="22"/>
          <w:szCs w:val="22"/>
          <w:vertAlign w:val="superscript"/>
          <w:lang w:val="en-AU"/>
        </w:rPr>
        <w:t>3)</w:t>
      </w:r>
      <w:proofErr w:type="gramEnd"/>
      <w:r w:rsidR="00827228" w:rsidRPr="00557821">
        <w:rPr>
          <w:rFonts w:ascii="Times New Roman" w:eastAsia="Times New Roman" w:hAnsi="Times New Roman" w:cs="Times New Roman"/>
          <w:color w:val="000000"/>
          <w:sz w:val="22"/>
          <w:szCs w:val="22"/>
          <w:shd w:val="clear" w:color="auto" w:fill="FFFFFF"/>
          <w:lang w:val="en-AU"/>
        </w:rPr>
        <w:t xml:space="preserve">Interestingly, T1DM increases the risk of Epilepsy by 4-6% compared to the general population, </w:t>
      </w:r>
      <w:r w:rsidR="00827228" w:rsidRPr="00557821">
        <w:rPr>
          <w:rFonts w:ascii="Times New Roman" w:eastAsia="Times New Roman" w:hAnsi="Times New Roman" w:cs="Times New Roman"/>
          <w:color w:val="000000"/>
          <w:sz w:val="22"/>
          <w:szCs w:val="22"/>
          <w:shd w:val="clear" w:color="auto" w:fill="FFFFFF"/>
          <w:vertAlign w:val="superscript"/>
          <w:lang w:val="en-AU"/>
        </w:rPr>
        <w:t>(4)</w:t>
      </w:r>
      <w:r w:rsidR="00827228" w:rsidRPr="00557821">
        <w:rPr>
          <w:rFonts w:ascii="Times New Roman" w:eastAsia="Times New Roman" w:hAnsi="Times New Roman" w:cs="Times New Roman"/>
          <w:color w:val="000000"/>
          <w:sz w:val="22"/>
          <w:szCs w:val="22"/>
          <w:shd w:val="clear" w:color="auto" w:fill="FFFFFF"/>
          <w:lang w:val="en-AU"/>
        </w:rPr>
        <w:t xml:space="preserve"> and patients with epilepsy have a four times increased prevalence of T1D than the general population </w:t>
      </w:r>
      <w:r w:rsidR="00827228" w:rsidRPr="00557821">
        <w:rPr>
          <w:rFonts w:ascii="Times New Roman" w:eastAsia="Times New Roman" w:hAnsi="Times New Roman" w:cs="Times New Roman"/>
          <w:color w:val="000000"/>
          <w:sz w:val="22"/>
          <w:szCs w:val="22"/>
          <w:shd w:val="clear" w:color="auto" w:fill="FFFFFF"/>
          <w:vertAlign w:val="superscript"/>
          <w:lang w:val="en-AU"/>
        </w:rPr>
        <w:t>(5)</w:t>
      </w:r>
      <w:r w:rsidR="00827228" w:rsidRPr="00557821">
        <w:rPr>
          <w:sz w:val="22"/>
          <w:szCs w:val="22"/>
          <w:lang w:val="en-AU"/>
        </w:rPr>
        <w:t>.</w:t>
      </w:r>
    </w:p>
    <w:p w14:paraId="61E03A51" w14:textId="77777777" w:rsidR="00827228" w:rsidRPr="00557821" w:rsidRDefault="00827228" w:rsidP="00827228">
      <w:pPr>
        <w:rPr>
          <w:sz w:val="22"/>
          <w:szCs w:val="22"/>
        </w:rPr>
      </w:pPr>
    </w:p>
    <w:p w14:paraId="722A1A94" w14:textId="6ECDC396" w:rsidR="00827228" w:rsidRPr="00557821" w:rsidRDefault="00827228" w:rsidP="00827228">
      <w:pPr>
        <w:rPr>
          <w:sz w:val="22"/>
          <w:szCs w:val="22"/>
        </w:rPr>
      </w:pPr>
      <w:r w:rsidRPr="00557821">
        <w:rPr>
          <w:sz w:val="22"/>
          <w:szCs w:val="22"/>
          <w:lang w:val="en-AU"/>
        </w:rPr>
        <w:t xml:space="preserve">T2/fluid-attenuated inversion recovery (FLAIR) hyperintensity in the medial temporal lobes on MRI may be seen in 80% of patients with Limbic encephalitis. Contrast enhancement in these regions is very rare. PET scan demonstrates </w:t>
      </w:r>
      <w:proofErr w:type="spellStart"/>
      <w:r w:rsidRPr="00557821">
        <w:rPr>
          <w:sz w:val="22"/>
          <w:szCs w:val="22"/>
          <w:lang w:val="en-AU"/>
        </w:rPr>
        <w:t>hypermetabolism</w:t>
      </w:r>
      <w:proofErr w:type="spellEnd"/>
      <w:r w:rsidRPr="00557821">
        <w:rPr>
          <w:sz w:val="22"/>
          <w:szCs w:val="22"/>
          <w:lang w:val="en-AU"/>
        </w:rPr>
        <w:t xml:space="preserve"> in the medial temporal lobes, </w:t>
      </w:r>
      <w:proofErr w:type="spellStart"/>
      <w:r w:rsidRPr="00557821">
        <w:rPr>
          <w:sz w:val="22"/>
          <w:szCs w:val="22"/>
          <w:lang w:val="en-AU"/>
        </w:rPr>
        <w:t>hypometabolism</w:t>
      </w:r>
      <w:proofErr w:type="spellEnd"/>
      <w:r w:rsidRPr="00557821">
        <w:rPr>
          <w:sz w:val="22"/>
          <w:szCs w:val="22"/>
          <w:lang w:val="en-AU"/>
        </w:rPr>
        <w:t xml:space="preserve"> may be seen later in the course of the disease CSF findings include pleocytosis, elevated protein and abnormal oligoclonal bands. High titre of GAD65 may also be found in the CSF. EEG may show </w:t>
      </w:r>
      <w:r w:rsidRPr="00557821">
        <w:rPr>
          <w:sz w:val="22"/>
          <w:szCs w:val="22"/>
        </w:rPr>
        <w:t>generalized or focal slowing with or without epileptiform activity, most dominantly in the temporal regions</w:t>
      </w:r>
      <w:proofErr w:type="gramStart"/>
      <w:r w:rsidRPr="004D367C">
        <w:rPr>
          <w:sz w:val="22"/>
          <w:szCs w:val="22"/>
          <w:vertAlign w:val="superscript"/>
        </w:rPr>
        <w:t>.</w:t>
      </w:r>
      <w:r w:rsidR="004D367C" w:rsidRPr="004D367C">
        <w:rPr>
          <w:sz w:val="22"/>
          <w:szCs w:val="22"/>
          <w:vertAlign w:val="superscript"/>
        </w:rPr>
        <w:t>(</w:t>
      </w:r>
      <w:proofErr w:type="gramEnd"/>
      <w:r w:rsidR="004D367C" w:rsidRPr="004D367C">
        <w:rPr>
          <w:sz w:val="22"/>
          <w:szCs w:val="22"/>
          <w:vertAlign w:val="superscript"/>
        </w:rPr>
        <w:t>10)</w:t>
      </w:r>
    </w:p>
    <w:p w14:paraId="544A81D9" w14:textId="77777777" w:rsidR="00827228" w:rsidRPr="00557821" w:rsidRDefault="00827228" w:rsidP="00827228">
      <w:pPr>
        <w:rPr>
          <w:sz w:val="22"/>
          <w:szCs w:val="22"/>
          <w:lang w:val="en-AU"/>
        </w:rPr>
      </w:pPr>
    </w:p>
    <w:p w14:paraId="496432D4" w14:textId="0E803151" w:rsidR="00827228" w:rsidRPr="00557821" w:rsidRDefault="00827228" w:rsidP="00827228">
      <w:pPr>
        <w:rPr>
          <w:sz w:val="22"/>
          <w:szCs w:val="22"/>
          <w:lang w:val="en-AU"/>
        </w:rPr>
      </w:pPr>
      <w:r w:rsidRPr="00557821">
        <w:rPr>
          <w:sz w:val="22"/>
          <w:szCs w:val="22"/>
          <w:lang w:val="en-AU"/>
        </w:rPr>
        <w:t xml:space="preserve">Different management approaches have been used widely </w:t>
      </w:r>
      <w:r w:rsidR="00EA0DBB">
        <w:rPr>
          <w:sz w:val="22"/>
          <w:szCs w:val="22"/>
          <w:lang w:val="en-AU"/>
        </w:rPr>
        <w:t>for the treatment of GAD65 positive limbic encephalitis</w:t>
      </w:r>
      <w:r w:rsidRPr="00557821">
        <w:rPr>
          <w:sz w:val="22"/>
          <w:szCs w:val="22"/>
          <w:lang w:val="en-AU"/>
        </w:rPr>
        <w:t xml:space="preserve">. </w:t>
      </w:r>
      <w:proofErr w:type="gramStart"/>
      <w:r w:rsidRPr="00557821">
        <w:rPr>
          <w:sz w:val="22"/>
          <w:szCs w:val="22"/>
          <w:lang w:val="en-AU"/>
        </w:rPr>
        <w:t xml:space="preserve">A review of 58 cases of limbic encephalitis with GAD65 antibodies by </w:t>
      </w:r>
      <w:r w:rsidRPr="00557821">
        <w:rPr>
          <w:sz w:val="22"/>
          <w:szCs w:val="22"/>
        </w:rPr>
        <w:t xml:space="preserve">Gagnon and Savrd </w:t>
      </w:r>
      <w:r w:rsidRPr="00557821">
        <w:rPr>
          <w:sz w:val="22"/>
          <w:szCs w:val="22"/>
          <w:vertAlign w:val="superscript"/>
        </w:rPr>
        <w:t>(1)</w:t>
      </w:r>
      <w:r w:rsidRPr="00557821">
        <w:rPr>
          <w:sz w:val="22"/>
          <w:szCs w:val="22"/>
          <w:lang w:val="en-AU"/>
        </w:rPr>
        <w:t xml:space="preserve"> Showed that most patients do not see a complete resolution of symptoms.</w:t>
      </w:r>
      <w:proofErr w:type="gramEnd"/>
      <w:r w:rsidRPr="00557821">
        <w:rPr>
          <w:sz w:val="22"/>
          <w:szCs w:val="22"/>
          <w:lang w:val="en-AU"/>
        </w:rPr>
        <w:t xml:space="preserve"> This was also seen in our patient as 10 years after her first admission with limbic encephalitis, she was still suffering from </w:t>
      </w:r>
      <w:proofErr w:type="gramStart"/>
      <w:r w:rsidRPr="00557821">
        <w:rPr>
          <w:sz w:val="22"/>
          <w:szCs w:val="22"/>
          <w:lang w:val="en-AU"/>
        </w:rPr>
        <w:t>short term</w:t>
      </w:r>
      <w:proofErr w:type="gramEnd"/>
      <w:r w:rsidRPr="00557821">
        <w:rPr>
          <w:sz w:val="22"/>
          <w:szCs w:val="22"/>
          <w:lang w:val="en-AU"/>
        </w:rPr>
        <w:t xml:space="preserve"> memory impairment, cognitive impairment and mood disturbances. </w:t>
      </w:r>
    </w:p>
    <w:p w14:paraId="23FED66B" w14:textId="06D55391" w:rsidR="00827228" w:rsidRPr="00557821" w:rsidRDefault="00827228" w:rsidP="00827228">
      <w:pPr>
        <w:rPr>
          <w:sz w:val="22"/>
          <w:szCs w:val="22"/>
          <w:lang w:val="en-AU"/>
        </w:rPr>
      </w:pPr>
      <w:r w:rsidRPr="00557821">
        <w:rPr>
          <w:sz w:val="22"/>
          <w:szCs w:val="22"/>
          <w:lang w:val="en-AU"/>
        </w:rPr>
        <w:t xml:space="preserve">Several different treatment modalities with varying treatment duration and follow up ranging from 0-96months </w:t>
      </w:r>
      <w:r w:rsidR="004C6000" w:rsidRPr="00557821">
        <w:rPr>
          <w:sz w:val="22"/>
          <w:szCs w:val="22"/>
          <w:lang w:val="en-AU"/>
        </w:rPr>
        <w:t>have been used</w:t>
      </w:r>
      <w:r w:rsidRPr="00557821">
        <w:rPr>
          <w:sz w:val="22"/>
          <w:szCs w:val="22"/>
          <w:lang w:val="en-AU"/>
        </w:rPr>
        <w:t xml:space="preserve">. Commonly used treatments included steroids, </w:t>
      </w:r>
      <w:r w:rsidR="004C6000" w:rsidRPr="00557821">
        <w:rPr>
          <w:sz w:val="22"/>
          <w:szCs w:val="22"/>
          <w:lang w:val="en-AU"/>
        </w:rPr>
        <w:t>immunoglobulin</w:t>
      </w:r>
      <w:r w:rsidRPr="00557821">
        <w:rPr>
          <w:sz w:val="22"/>
          <w:szCs w:val="22"/>
          <w:lang w:val="en-AU"/>
        </w:rPr>
        <w:t>, plasma exchange, rituximab, cyclophosphamide, ste</w:t>
      </w:r>
      <w:r w:rsidR="000D1BA1">
        <w:rPr>
          <w:sz w:val="22"/>
          <w:szCs w:val="22"/>
          <w:lang w:val="en-AU"/>
        </w:rPr>
        <w:t xml:space="preserve">roid sparing agents including azathioprine and </w:t>
      </w:r>
      <w:proofErr w:type="spellStart"/>
      <w:r w:rsidR="000D1BA1">
        <w:rPr>
          <w:sz w:val="22"/>
          <w:szCs w:val="22"/>
          <w:lang w:val="en-AU"/>
        </w:rPr>
        <w:t>Mycophenolate</w:t>
      </w:r>
      <w:proofErr w:type="spellEnd"/>
      <w:r w:rsidR="000D1BA1">
        <w:rPr>
          <w:sz w:val="22"/>
          <w:szCs w:val="22"/>
          <w:lang w:val="en-AU"/>
        </w:rPr>
        <w:t xml:space="preserve"> </w:t>
      </w:r>
      <w:proofErr w:type="spellStart"/>
      <w:r w:rsidR="000D1BA1">
        <w:rPr>
          <w:sz w:val="22"/>
          <w:szCs w:val="22"/>
          <w:lang w:val="en-AU"/>
        </w:rPr>
        <w:t>M</w:t>
      </w:r>
      <w:r w:rsidRPr="00557821">
        <w:rPr>
          <w:sz w:val="22"/>
          <w:szCs w:val="22"/>
          <w:lang w:val="en-AU"/>
        </w:rPr>
        <w:t>ofetil</w:t>
      </w:r>
      <w:proofErr w:type="spellEnd"/>
      <w:r w:rsidRPr="00557821">
        <w:rPr>
          <w:sz w:val="22"/>
          <w:szCs w:val="22"/>
          <w:lang w:val="en-AU"/>
        </w:rPr>
        <w:t>. No studies re currently available to ascertain the superiority of one treatment over another.</w:t>
      </w:r>
    </w:p>
    <w:p w14:paraId="027493D4" w14:textId="77777777" w:rsidR="00827228" w:rsidRPr="00557821" w:rsidRDefault="00827228" w:rsidP="00827228">
      <w:pPr>
        <w:rPr>
          <w:sz w:val="22"/>
          <w:szCs w:val="22"/>
        </w:rPr>
      </w:pPr>
    </w:p>
    <w:p w14:paraId="4D57CE08" w14:textId="77777777" w:rsidR="00827228" w:rsidRPr="00557821" w:rsidRDefault="00827228" w:rsidP="00827228">
      <w:pPr>
        <w:rPr>
          <w:sz w:val="22"/>
          <w:szCs w:val="22"/>
        </w:rPr>
      </w:pPr>
      <w:r w:rsidRPr="00557821">
        <w:rPr>
          <w:sz w:val="22"/>
          <w:szCs w:val="22"/>
        </w:rPr>
        <w:t>Conclusion:</w:t>
      </w:r>
    </w:p>
    <w:p w14:paraId="3C87F495" w14:textId="786860A3" w:rsidR="00827228" w:rsidRPr="00557821" w:rsidRDefault="00827228" w:rsidP="00827228">
      <w:pPr>
        <w:rPr>
          <w:sz w:val="22"/>
          <w:szCs w:val="22"/>
        </w:rPr>
      </w:pPr>
      <w:r w:rsidRPr="00557821">
        <w:rPr>
          <w:sz w:val="22"/>
          <w:szCs w:val="22"/>
        </w:rPr>
        <w:t>GAD65 associated limbic encephalitis in patients with Type 1 DM remains an understudied subject. Patients presenting with limbic encephalitis with GAD65 antibodies may need monitoring for possible development of type 1 Diabetes mellitus and vice ver</w:t>
      </w:r>
      <w:r w:rsidR="00EA0DBB">
        <w:rPr>
          <w:sz w:val="22"/>
          <w:szCs w:val="22"/>
        </w:rPr>
        <w:t>sa. Further trials would be beneficial</w:t>
      </w:r>
      <w:r w:rsidRPr="00557821">
        <w:rPr>
          <w:sz w:val="22"/>
          <w:szCs w:val="22"/>
        </w:rPr>
        <w:t xml:space="preserve"> in identifying a diagnostic approach and best treatment guidelines for early detection and management of patients with GAD65 associated limbic encephalitis.</w:t>
      </w:r>
    </w:p>
    <w:p w14:paraId="19AD94C6" w14:textId="77777777" w:rsidR="004C6000" w:rsidRPr="00557821" w:rsidRDefault="004C6000" w:rsidP="00EA1073">
      <w:pPr>
        <w:rPr>
          <w:sz w:val="22"/>
          <w:szCs w:val="22"/>
        </w:rPr>
      </w:pPr>
    </w:p>
    <w:p w14:paraId="5765D3BE" w14:textId="40F394DA" w:rsidR="00EA1073" w:rsidRDefault="00EA1073" w:rsidP="00EA1073">
      <w:pPr>
        <w:rPr>
          <w:sz w:val="22"/>
          <w:szCs w:val="22"/>
        </w:rPr>
      </w:pPr>
    </w:p>
    <w:p w14:paraId="7682359F" w14:textId="77777777" w:rsidR="004D367C" w:rsidRDefault="004D367C" w:rsidP="00EA1073">
      <w:pPr>
        <w:rPr>
          <w:sz w:val="22"/>
          <w:szCs w:val="22"/>
        </w:rPr>
      </w:pPr>
    </w:p>
    <w:p w14:paraId="7C5007EC" w14:textId="77777777" w:rsidR="004D367C" w:rsidRDefault="004D367C" w:rsidP="00EA1073">
      <w:pPr>
        <w:rPr>
          <w:sz w:val="22"/>
          <w:szCs w:val="22"/>
        </w:rPr>
      </w:pPr>
    </w:p>
    <w:p w14:paraId="254CEFFB" w14:textId="77777777" w:rsidR="004D367C" w:rsidRDefault="004D367C" w:rsidP="00EA1073">
      <w:pPr>
        <w:rPr>
          <w:sz w:val="22"/>
          <w:szCs w:val="22"/>
        </w:rPr>
      </w:pPr>
    </w:p>
    <w:p w14:paraId="139F44C8" w14:textId="77777777" w:rsidR="004D367C" w:rsidRDefault="004D367C" w:rsidP="00EA1073">
      <w:pPr>
        <w:rPr>
          <w:sz w:val="22"/>
          <w:szCs w:val="22"/>
        </w:rPr>
      </w:pPr>
    </w:p>
    <w:p w14:paraId="601E62E7" w14:textId="77777777" w:rsidR="004D367C" w:rsidRPr="00557821" w:rsidRDefault="004D367C" w:rsidP="00EA1073">
      <w:pPr>
        <w:rPr>
          <w:sz w:val="22"/>
          <w:szCs w:val="22"/>
        </w:rPr>
      </w:pPr>
    </w:p>
    <w:p w14:paraId="1E773B92" w14:textId="77777777" w:rsidR="00EA1073" w:rsidRDefault="00EA1073" w:rsidP="00827228">
      <w:pPr>
        <w:rPr>
          <w:sz w:val="22"/>
          <w:szCs w:val="22"/>
        </w:rPr>
      </w:pPr>
    </w:p>
    <w:p w14:paraId="7CD99D05" w14:textId="77777777" w:rsidR="004D367C" w:rsidRPr="004F2FCF" w:rsidRDefault="004D367C" w:rsidP="004D367C">
      <w:pPr>
        <w:rPr>
          <w:rFonts w:ascii="Times New Roman" w:hAnsi="Times New Roman" w:cs="Times New Roman"/>
        </w:rPr>
      </w:pPr>
    </w:p>
    <w:p w14:paraId="4369B490" w14:textId="77777777" w:rsidR="004D367C" w:rsidRPr="004F2FCF" w:rsidRDefault="004D367C" w:rsidP="004D367C">
      <w:pPr>
        <w:rPr>
          <w:rFonts w:ascii="Times New Roman" w:hAnsi="Times New Roman" w:cs="Times New Roman"/>
        </w:rPr>
      </w:pPr>
    </w:p>
    <w:p w14:paraId="4940D9F2" w14:textId="77777777" w:rsidR="004D367C" w:rsidRPr="004F2FCF" w:rsidRDefault="004D367C" w:rsidP="004D367C">
      <w:pPr>
        <w:jc w:val="center"/>
        <w:rPr>
          <w:rFonts w:ascii="Times New Roman" w:hAnsi="Times New Roman" w:cs="Times New Roman"/>
          <w:u w:val="single"/>
        </w:rPr>
      </w:pPr>
      <w:r w:rsidRPr="004F2FCF">
        <w:rPr>
          <w:rFonts w:ascii="Times New Roman" w:hAnsi="Times New Roman" w:cs="Times New Roman"/>
          <w:u w:val="single"/>
        </w:rPr>
        <w:t>REFERENCES:</w:t>
      </w:r>
    </w:p>
    <w:p w14:paraId="57F5E664" w14:textId="77777777" w:rsidR="004D367C" w:rsidRPr="004F2FCF" w:rsidRDefault="004D367C" w:rsidP="004D367C">
      <w:pPr>
        <w:pStyle w:val="ListParagraph"/>
        <w:numPr>
          <w:ilvl w:val="0"/>
          <w:numId w:val="3"/>
        </w:numPr>
        <w:rPr>
          <w:rFonts w:ascii="Times New Roman" w:hAnsi="Times New Roman" w:cs="Times New Roman"/>
        </w:rPr>
      </w:pPr>
      <w:r w:rsidRPr="004F2FCF">
        <w:rPr>
          <w:rFonts w:ascii="Times New Roman" w:eastAsia="Times New Roman" w:hAnsi="Times New Roman" w:cs="Times New Roman"/>
          <w:lang w:val="en-AU"/>
        </w:rPr>
        <w:t xml:space="preserve">Limbic Encephalitis Associated With GAD65 Antibodies: Brief Review of the </w:t>
      </w:r>
      <w:proofErr w:type="gramStart"/>
      <w:r w:rsidRPr="004F2FCF">
        <w:rPr>
          <w:rFonts w:ascii="Times New Roman" w:eastAsia="Times New Roman" w:hAnsi="Times New Roman" w:cs="Times New Roman"/>
          <w:lang w:val="en-AU"/>
        </w:rPr>
        <w:t>Relevant</w:t>
      </w:r>
      <w:proofErr w:type="gramEnd"/>
      <w:r w:rsidRPr="004F2FCF">
        <w:rPr>
          <w:rFonts w:ascii="Times New Roman" w:eastAsia="Times New Roman" w:hAnsi="Times New Roman" w:cs="Times New Roman"/>
          <w:lang w:val="en-AU"/>
        </w:rPr>
        <w:t xml:space="preserve"> literature Maude-Marie Gagnon, Martin </w:t>
      </w:r>
      <w:proofErr w:type="spellStart"/>
      <w:r w:rsidRPr="004F2FCF">
        <w:rPr>
          <w:rFonts w:ascii="Times New Roman" w:eastAsia="Times New Roman" w:hAnsi="Times New Roman" w:cs="Times New Roman"/>
          <w:lang w:val="en-AU"/>
        </w:rPr>
        <w:t>Savard</w:t>
      </w:r>
      <w:proofErr w:type="spellEnd"/>
      <w:r w:rsidRPr="004F2FCF">
        <w:rPr>
          <w:rFonts w:ascii="Times New Roman" w:eastAsia="Times New Roman" w:hAnsi="Times New Roman" w:cs="Times New Roman"/>
          <w:lang w:val="en-AU"/>
        </w:rPr>
        <w:t xml:space="preserve">. Can J </w:t>
      </w:r>
      <w:proofErr w:type="spellStart"/>
      <w:r w:rsidRPr="004F2FCF">
        <w:rPr>
          <w:rFonts w:ascii="Times New Roman" w:eastAsia="Times New Roman" w:hAnsi="Times New Roman" w:cs="Times New Roman"/>
          <w:lang w:val="en-AU"/>
        </w:rPr>
        <w:t>Neurol</w:t>
      </w:r>
      <w:proofErr w:type="spellEnd"/>
      <w:r w:rsidRPr="004F2FCF">
        <w:rPr>
          <w:rFonts w:ascii="Times New Roman" w:eastAsia="Times New Roman" w:hAnsi="Times New Roman" w:cs="Times New Roman"/>
          <w:lang w:val="en-AU"/>
        </w:rPr>
        <w:t xml:space="preserve"> Sci. 2016; 43: 486-493</w:t>
      </w:r>
      <w:r w:rsidRPr="004F2FCF">
        <w:rPr>
          <w:rFonts w:ascii="Times New Roman" w:hAnsi="Times New Roman" w:cs="Times New Roman"/>
        </w:rPr>
        <w:t>)</w:t>
      </w:r>
    </w:p>
    <w:p w14:paraId="0F945D21" w14:textId="77777777" w:rsidR="004D367C" w:rsidRPr="004F2FCF" w:rsidRDefault="004D367C" w:rsidP="004D367C">
      <w:pPr>
        <w:rPr>
          <w:rFonts w:ascii="Times New Roman" w:hAnsi="Times New Roman" w:cs="Times New Roman"/>
        </w:rPr>
      </w:pPr>
    </w:p>
    <w:p w14:paraId="49C56373" w14:textId="77777777" w:rsidR="004D367C" w:rsidRPr="004F2FCF" w:rsidRDefault="004D367C" w:rsidP="004D367C">
      <w:pPr>
        <w:rPr>
          <w:rFonts w:ascii="Times New Roman" w:hAnsi="Times New Roman" w:cs="Times New Roman"/>
        </w:rPr>
      </w:pPr>
    </w:p>
    <w:p w14:paraId="34850FEA" w14:textId="77777777" w:rsidR="004D367C" w:rsidRPr="004F2FCF" w:rsidRDefault="004D367C" w:rsidP="004D367C">
      <w:pPr>
        <w:pStyle w:val="ListParagraph"/>
        <w:numPr>
          <w:ilvl w:val="0"/>
          <w:numId w:val="3"/>
        </w:numPr>
        <w:rPr>
          <w:rFonts w:ascii="Times New Roman" w:eastAsia="Times New Roman" w:hAnsi="Times New Roman" w:cs="Times New Roman"/>
          <w:color w:val="000000"/>
          <w:shd w:val="clear" w:color="auto" w:fill="FFFFFF"/>
          <w:lang w:val="en-AU"/>
        </w:rPr>
      </w:pPr>
      <w:r w:rsidRPr="004F2FCF">
        <w:rPr>
          <w:rFonts w:ascii="Times New Roman" w:eastAsia="Times New Roman" w:hAnsi="Times New Roman" w:cs="Times New Roman"/>
          <w:color w:val="303030"/>
          <w:shd w:val="clear" w:color="auto" w:fill="FFFFFF"/>
          <w:lang w:val="en-AU"/>
        </w:rPr>
        <w:t xml:space="preserve">Presynaptic impairment of cerebellar inhibitory synapses by an autoantibody to glutamate </w:t>
      </w:r>
      <w:proofErr w:type="spellStart"/>
      <w:proofErr w:type="gramStart"/>
      <w:r w:rsidRPr="004F2FCF">
        <w:rPr>
          <w:rFonts w:ascii="Times New Roman" w:eastAsia="Times New Roman" w:hAnsi="Times New Roman" w:cs="Times New Roman"/>
          <w:color w:val="303030"/>
          <w:shd w:val="clear" w:color="auto" w:fill="FFFFFF"/>
          <w:lang w:val="en-AU"/>
        </w:rPr>
        <w:t>decarboxylase.</w:t>
      </w:r>
      <w:r w:rsidRPr="004F2FCF">
        <w:rPr>
          <w:rFonts w:ascii="Times New Roman" w:eastAsia="Times New Roman" w:hAnsi="Times New Roman" w:cs="Times New Roman"/>
          <w:i/>
          <w:iCs/>
          <w:color w:val="303030"/>
          <w:lang w:val="en-AU"/>
        </w:rPr>
        <w:t>Mitoma</w:t>
      </w:r>
      <w:proofErr w:type="spellEnd"/>
      <w:proofErr w:type="gramEnd"/>
      <w:r w:rsidRPr="004F2FCF">
        <w:rPr>
          <w:rFonts w:ascii="Times New Roman" w:eastAsia="Times New Roman" w:hAnsi="Times New Roman" w:cs="Times New Roman"/>
          <w:i/>
          <w:iCs/>
          <w:color w:val="303030"/>
          <w:lang w:val="en-AU"/>
        </w:rPr>
        <w:t xml:space="preserve"> H, Song SY, Ishida K, </w:t>
      </w:r>
      <w:proofErr w:type="spellStart"/>
      <w:r w:rsidRPr="004F2FCF">
        <w:rPr>
          <w:rFonts w:ascii="Times New Roman" w:eastAsia="Times New Roman" w:hAnsi="Times New Roman" w:cs="Times New Roman"/>
          <w:i/>
          <w:iCs/>
          <w:color w:val="303030"/>
          <w:lang w:val="en-AU"/>
        </w:rPr>
        <w:t>Yamakuni</w:t>
      </w:r>
      <w:proofErr w:type="spellEnd"/>
      <w:r w:rsidRPr="004F2FCF">
        <w:rPr>
          <w:rFonts w:ascii="Times New Roman" w:eastAsia="Times New Roman" w:hAnsi="Times New Roman" w:cs="Times New Roman"/>
          <w:i/>
          <w:iCs/>
          <w:color w:val="303030"/>
          <w:lang w:val="en-AU"/>
        </w:rPr>
        <w:t xml:space="preserve"> T, Kobayashi T, </w:t>
      </w:r>
      <w:proofErr w:type="spellStart"/>
      <w:r w:rsidRPr="004F2FCF">
        <w:rPr>
          <w:rFonts w:ascii="Times New Roman" w:eastAsia="Times New Roman" w:hAnsi="Times New Roman" w:cs="Times New Roman"/>
          <w:i/>
          <w:iCs/>
          <w:color w:val="303030"/>
          <w:lang w:val="en-AU"/>
        </w:rPr>
        <w:t>Mizusawa</w:t>
      </w:r>
      <w:proofErr w:type="spellEnd"/>
      <w:r w:rsidRPr="004F2FCF">
        <w:rPr>
          <w:rFonts w:ascii="Times New Roman" w:eastAsia="Times New Roman" w:hAnsi="Times New Roman" w:cs="Times New Roman"/>
          <w:i/>
          <w:iCs/>
          <w:color w:val="303030"/>
          <w:lang w:val="en-AU"/>
        </w:rPr>
        <w:t xml:space="preserve"> H</w:t>
      </w:r>
      <w:r w:rsidRPr="004F2FCF">
        <w:rPr>
          <w:rFonts w:ascii="Times New Roman" w:eastAsia="Times New Roman" w:hAnsi="Times New Roman" w:cs="Times New Roman"/>
          <w:lang w:val="en-AU"/>
        </w:rPr>
        <w:t xml:space="preserve">. </w:t>
      </w:r>
      <w:r w:rsidRPr="004F2FCF">
        <w:rPr>
          <w:rFonts w:ascii="Times New Roman" w:eastAsia="Times New Roman" w:hAnsi="Times New Roman" w:cs="Times New Roman"/>
          <w:i/>
          <w:iCs/>
          <w:color w:val="303030"/>
          <w:lang w:val="en-AU"/>
        </w:rPr>
        <w:t xml:space="preserve">J </w:t>
      </w:r>
      <w:proofErr w:type="spellStart"/>
      <w:r w:rsidRPr="004F2FCF">
        <w:rPr>
          <w:rFonts w:ascii="Times New Roman" w:eastAsia="Times New Roman" w:hAnsi="Times New Roman" w:cs="Times New Roman"/>
          <w:i/>
          <w:iCs/>
          <w:color w:val="303030"/>
          <w:lang w:val="en-AU"/>
        </w:rPr>
        <w:t>Neurol</w:t>
      </w:r>
      <w:proofErr w:type="spellEnd"/>
      <w:r w:rsidRPr="004F2FCF">
        <w:rPr>
          <w:rFonts w:ascii="Times New Roman" w:eastAsia="Times New Roman" w:hAnsi="Times New Roman" w:cs="Times New Roman"/>
          <w:i/>
          <w:iCs/>
          <w:color w:val="303030"/>
          <w:lang w:val="en-AU"/>
        </w:rPr>
        <w:t xml:space="preserve"> Sci. 2000 Apr 1; 175(1):40-4</w:t>
      </w:r>
      <w:r w:rsidRPr="004F2FCF">
        <w:rPr>
          <w:rFonts w:ascii="Times New Roman" w:hAnsi="Times New Roman" w:cs="Times New Roman"/>
        </w:rPr>
        <w:t>)</w:t>
      </w:r>
    </w:p>
    <w:p w14:paraId="6FC05561" w14:textId="77777777" w:rsidR="004D367C" w:rsidRPr="004F2FCF" w:rsidRDefault="004D367C" w:rsidP="004D367C">
      <w:pPr>
        <w:rPr>
          <w:rFonts w:ascii="Times New Roman" w:eastAsia="Times New Roman" w:hAnsi="Times New Roman" w:cs="Times New Roman"/>
          <w:color w:val="000000"/>
          <w:shd w:val="clear" w:color="auto" w:fill="FFFFFF"/>
          <w:lang w:val="en-AU"/>
        </w:rPr>
      </w:pPr>
    </w:p>
    <w:p w14:paraId="40984E1E" w14:textId="77777777" w:rsidR="004D367C" w:rsidRPr="004F2FCF" w:rsidRDefault="004D367C" w:rsidP="004D367C">
      <w:pPr>
        <w:pStyle w:val="ListParagraph"/>
        <w:numPr>
          <w:ilvl w:val="0"/>
          <w:numId w:val="3"/>
        </w:numPr>
        <w:rPr>
          <w:rFonts w:ascii="Times New Roman" w:hAnsi="Times New Roman" w:cs="Times New Roman"/>
          <w:lang w:val="en-AU"/>
        </w:rPr>
      </w:pPr>
      <w:r w:rsidRPr="004F2FCF">
        <w:rPr>
          <w:rFonts w:ascii="Times New Roman" w:eastAsia="Times New Roman" w:hAnsi="Times New Roman" w:cs="Times New Roman"/>
          <w:color w:val="000000"/>
          <w:shd w:val="clear" w:color="auto" w:fill="FFFFFF"/>
          <w:lang w:val="en-AU"/>
        </w:rPr>
        <w:t xml:space="preserve">3. Identification of the 64K </w:t>
      </w:r>
      <w:proofErr w:type="spellStart"/>
      <w:r w:rsidRPr="004F2FCF">
        <w:rPr>
          <w:rFonts w:ascii="Times New Roman" w:eastAsia="Times New Roman" w:hAnsi="Times New Roman" w:cs="Times New Roman"/>
          <w:color w:val="000000"/>
          <w:shd w:val="clear" w:color="auto" w:fill="FFFFFF"/>
          <w:lang w:val="en-AU"/>
        </w:rPr>
        <w:t>autoantigen</w:t>
      </w:r>
      <w:proofErr w:type="spellEnd"/>
      <w:r w:rsidRPr="004F2FCF">
        <w:rPr>
          <w:rFonts w:ascii="Times New Roman" w:eastAsia="Times New Roman" w:hAnsi="Times New Roman" w:cs="Times New Roman"/>
          <w:color w:val="000000"/>
          <w:shd w:val="clear" w:color="auto" w:fill="FFFFFF"/>
          <w:lang w:val="en-AU"/>
        </w:rPr>
        <w:t xml:space="preserve"> in insulin-dependent diabetes as the GABA-synthesizing enzyme glutamic acid decarboxylase. </w:t>
      </w:r>
      <w:proofErr w:type="spellStart"/>
      <w:r w:rsidRPr="004F2FCF">
        <w:rPr>
          <w:rFonts w:ascii="Times New Roman" w:eastAsia="Times New Roman" w:hAnsi="Times New Roman" w:cs="Times New Roman"/>
          <w:color w:val="000000"/>
          <w:shd w:val="clear" w:color="auto" w:fill="FFFFFF"/>
          <w:lang w:val="en-AU"/>
        </w:rPr>
        <w:t>Baekkeskov</w:t>
      </w:r>
      <w:proofErr w:type="spellEnd"/>
      <w:r w:rsidRPr="004F2FCF">
        <w:rPr>
          <w:rFonts w:ascii="Times New Roman" w:eastAsia="Times New Roman" w:hAnsi="Times New Roman" w:cs="Times New Roman"/>
          <w:color w:val="000000"/>
          <w:shd w:val="clear" w:color="auto" w:fill="FFFFFF"/>
          <w:lang w:val="en-AU"/>
        </w:rPr>
        <w:t xml:space="preserve"> S, </w:t>
      </w:r>
      <w:proofErr w:type="spellStart"/>
      <w:r w:rsidRPr="004F2FCF">
        <w:rPr>
          <w:rFonts w:ascii="Times New Roman" w:eastAsia="Times New Roman" w:hAnsi="Times New Roman" w:cs="Times New Roman"/>
          <w:color w:val="000000"/>
          <w:shd w:val="clear" w:color="auto" w:fill="FFFFFF"/>
          <w:lang w:val="en-AU"/>
        </w:rPr>
        <w:t>Aanstoot</w:t>
      </w:r>
      <w:proofErr w:type="spellEnd"/>
      <w:r w:rsidRPr="004F2FCF">
        <w:rPr>
          <w:rFonts w:ascii="Times New Roman" w:eastAsia="Times New Roman" w:hAnsi="Times New Roman" w:cs="Times New Roman"/>
          <w:color w:val="000000"/>
          <w:shd w:val="clear" w:color="auto" w:fill="FFFFFF"/>
          <w:lang w:val="en-AU"/>
        </w:rPr>
        <w:t xml:space="preserve"> HJ, </w:t>
      </w:r>
      <w:proofErr w:type="spellStart"/>
      <w:r w:rsidRPr="004F2FCF">
        <w:rPr>
          <w:rFonts w:ascii="Times New Roman" w:eastAsia="Times New Roman" w:hAnsi="Times New Roman" w:cs="Times New Roman"/>
          <w:color w:val="000000"/>
          <w:shd w:val="clear" w:color="auto" w:fill="FFFFFF"/>
          <w:lang w:val="en-AU"/>
        </w:rPr>
        <w:t>Christgau</w:t>
      </w:r>
      <w:proofErr w:type="spellEnd"/>
      <w:r w:rsidRPr="004F2FCF">
        <w:rPr>
          <w:rFonts w:ascii="Times New Roman" w:eastAsia="Times New Roman" w:hAnsi="Times New Roman" w:cs="Times New Roman"/>
          <w:color w:val="000000"/>
          <w:shd w:val="clear" w:color="auto" w:fill="FFFFFF"/>
          <w:lang w:val="en-AU"/>
        </w:rPr>
        <w:t xml:space="preserve"> S, </w:t>
      </w:r>
      <w:proofErr w:type="spellStart"/>
      <w:r w:rsidRPr="004F2FCF">
        <w:rPr>
          <w:rFonts w:ascii="Times New Roman" w:eastAsia="Times New Roman" w:hAnsi="Times New Roman" w:cs="Times New Roman"/>
          <w:color w:val="000000"/>
          <w:shd w:val="clear" w:color="auto" w:fill="FFFFFF"/>
          <w:lang w:val="en-AU"/>
        </w:rPr>
        <w:t>Reetz</w:t>
      </w:r>
      <w:proofErr w:type="spellEnd"/>
      <w:r w:rsidRPr="004F2FCF">
        <w:rPr>
          <w:rFonts w:ascii="Times New Roman" w:eastAsia="Times New Roman" w:hAnsi="Times New Roman" w:cs="Times New Roman"/>
          <w:color w:val="000000"/>
          <w:shd w:val="clear" w:color="auto" w:fill="FFFFFF"/>
          <w:lang w:val="en-AU"/>
        </w:rPr>
        <w:t xml:space="preserve"> A, </w:t>
      </w:r>
      <w:proofErr w:type="spellStart"/>
      <w:r w:rsidRPr="004F2FCF">
        <w:rPr>
          <w:rFonts w:ascii="Times New Roman" w:eastAsia="Times New Roman" w:hAnsi="Times New Roman" w:cs="Times New Roman"/>
          <w:color w:val="000000"/>
          <w:shd w:val="clear" w:color="auto" w:fill="FFFFFF"/>
          <w:lang w:val="en-AU"/>
        </w:rPr>
        <w:t>Solimena</w:t>
      </w:r>
      <w:proofErr w:type="spellEnd"/>
      <w:r w:rsidRPr="004F2FCF">
        <w:rPr>
          <w:rFonts w:ascii="Times New Roman" w:eastAsia="Times New Roman" w:hAnsi="Times New Roman" w:cs="Times New Roman"/>
          <w:color w:val="000000"/>
          <w:shd w:val="clear" w:color="auto" w:fill="FFFFFF"/>
          <w:lang w:val="en-AU"/>
        </w:rPr>
        <w:t xml:space="preserve"> M, </w:t>
      </w:r>
      <w:proofErr w:type="spellStart"/>
      <w:r w:rsidRPr="004F2FCF">
        <w:rPr>
          <w:rFonts w:ascii="Times New Roman" w:eastAsia="Times New Roman" w:hAnsi="Times New Roman" w:cs="Times New Roman"/>
          <w:color w:val="000000"/>
          <w:shd w:val="clear" w:color="auto" w:fill="FFFFFF"/>
          <w:lang w:val="en-AU"/>
        </w:rPr>
        <w:t>Cascalho</w:t>
      </w:r>
      <w:proofErr w:type="spellEnd"/>
      <w:r w:rsidRPr="004F2FCF">
        <w:rPr>
          <w:rFonts w:ascii="Times New Roman" w:eastAsia="Times New Roman" w:hAnsi="Times New Roman" w:cs="Times New Roman"/>
          <w:color w:val="000000"/>
          <w:shd w:val="clear" w:color="auto" w:fill="FFFFFF"/>
          <w:lang w:val="en-AU"/>
        </w:rPr>
        <w:t xml:space="preserve"> M, </w:t>
      </w:r>
      <w:proofErr w:type="spellStart"/>
      <w:r w:rsidRPr="004F2FCF">
        <w:rPr>
          <w:rFonts w:ascii="Times New Roman" w:eastAsia="Times New Roman" w:hAnsi="Times New Roman" w:cs="Times New Roman"/>
          <w:color w:val="000000"/>
          <w:shd w:val="clear" w:color="auto" w:fill="FFFFFF"/>
          <w:lang w:val="en-AU"/>
        </w:rPr>
        <w:t>Folli</w:t>
      </w:r>
      <w:proofErr w:type="spellEnd"/>
      <w:r w:rsidRPr="004F2FCF">
        <w:rPr>
          <w:rFonts w:ascii="Times New Roman" w:eastAsia="Times New Roman" w:hAnsi="Times New Roman" w:cs="Times New Roman"/>
          <w:color w:val="000000"/>
          <w:shd w:val="clear" w:color="auto" w:fill="FFFFFF"/>
          <w:lang w:val="en-AU"/>
        </w:rPr>
        <w:t xml:space="preserve"> F, Richter-</w:t>
      </w:r>
      <w:proofErr w:type="spellStart"/>
      <w:r w:rsidRPr="004F2FCF">
        <w:rPr>
          <w:rFonts w:ascii="Times New Roman" w:eastAsia="Times New Roman" w:hAnsi="Times New Roman" w:cs="Times New Roman"/>
          <w:color w:val="000000"/>
          <w:shd w:val="clear" w:color="auto" w:fill="FFFFFF"/>
          <w:lang w:val="en-AU"/>
        </w:rPr>
        <w:t>Olesen</w:t>
      </w:r>
      <w:proofErr w:type="spellEnd"/>
      <w:r w:rsidRPr="004F2FCF">
        <w:rPr>
          <w:rFonts w:ascii="Times New Roman" w:eastAsia="Times New Roman" w:hAnsi="Times New Roman" w:cs="Times New Roman"/>
          <w:color w:val="000000"/>
          <w:shd w:val="clear" w:color="auto" w:fill="FFFFFF"/>
          <w:lang w:val="en-AU"/>
        </w:rPr>
        <w:t xml:space="preserve"> H, De </w:t>
      </w:r>
      <w:proofErr w:type="spellStart"/>
      <w:r w:rsidRPr="004F2FCF">
        <w:rPr>
          <w:rFonts w:ascii="Times New Roman" w:eastAsia="Times New Roman" w:hAnsi="Times New Roman" w:cs="Times New Roman"/>
          <w:color w:val="000000"/>
          <w:shd w:val="clear" w:color="auto" w:fill="FFFFFF"/>
          <w:lang w:val="en-AU"/>
        </w:rPr>
        <w:t>Camilli</w:t>
      </w:r>
      <w:proofErr w:type="spellEnd"/>
      <w:r w:rsidRPr="004F2FCF">
        <w:rPr>
          <w:rFonts w:ascii="Times New Roman" w:eastAsia="Times New Roman" w:hAnsi="Times New Roman" w:cs="Times New Roman"/>
          <w:color w:val="000000"/>
          <w:shd w:val="clear" w:color="auto" w:fill="FFFFFF"/>
          <w:lang w:val="en-AU"/>
        </w:rPr>
        <w:t xml:space="preserve"> P. Nature. 1990</w:t>
      </w:r>
      <w:proofErr w:type="gramStart"/>
      <w:r w:rsidRPr="004F2FCF">
        <w:rPr>
          <w:rFonts w:ascii="Times New Roman" w:eastAsia="Times New Roman" w:hAnsi="Times New Roman" w:cs="Times New Roman"/>
          <w:color w:val="000000"/>
          <w:shd w:val="clear" w:color="auto" w:fill="FFFFFF"/>
          <w:lang w:val="en-AU"/>
        </w:rPr>
        <w:t>;347:151</w:t>
      </w:r>
      <w:proofErr w:type="gramEnd"/>
      <w:r w:rsidRPr="004F2FCF">
        <w:rPr>
          <w:rFonts w:ascii="Times New Roman" w:eastAsia="Times New Roman" w:hAnsi="Times New Roman" w:cs="Times New Roman"/>
          <w:color w:val="000000"/>
          <w:shd w:val="clear" w:color="auto" w:fill="FFFFFF"/>
          <w:lang w:val="en-AU"/>
        </w:rPr>
        <w:t xml:space="preserve">–156. </w:t>
      </w:r>
      <w:proofErr w:type="spellStart"/>
      <w:proofErr w:type="gramStart"/>
      <w:r w:rsidRPr="004F2FCF">
        <w:rPr>
          <w:rFonts w:ascii="Times New Roman" w:eastAsia="Times New Roman" w:hAnsi="Times New Roman" w:cs="Times New Roman"/>
          <w:color w:val="000000"/>
          <w:shd w:val="clear" w:color="auto" w:fill="FFFFFF"/>
          <w:lang w:val="en-AU"/>
        </w:rPr>
        <w:t>doi</w:t>
      </w:r>
      <w:proofErr w:type="spellEnd"/>
      <w:proofErr w:type="gramEnd"/>
      <w:r w:rsidRPr="004F2FCF">
        <w:rPr>
          <w:rFonts w:ascii="Times New Roman" w:eastAsia="Times New Roman" w:hAnsi="Times New Roman" w:cs="Times New Roman"/>
          <w:color w:val="000000"/>
          <w:shd w:val="clear" w:color="auto" w:fill="FFFFFF"/>
          <w:lang w:val="en-AU"/>
        </w:rPr>
        <w:t>: 10.1038/347151a0</w:t>
      </w:r>
    </w:p>
    <w:p w14:paraId="2DF9B3AF" w14:textId="77777777" w:rsidR="004D367C" w:rsidRPr="004F2FCF" w:rsidRDefault="004D367C" w:rsidP="004D367C">
      <w:pPr>
        <w:rPr>
          <w:rFonts w:ascii="Times New Roman" w:hAnsi="Times New Roman" w:cs="Times New Roman"/>
          <w:lang w:val="en-AU"/>
        </w:rPr>
      </w:pPr>
    </w:p>
    <w:p w14:paraId="5F6F11CB" w14:textId="77777777" w:rsidR="004D367C" w:rsidRPr="004F2FCF" w:rsidRDefault="004D367C" w:rsidP="004D367C">
      <w:pPr>
        <w:pStyle w:val="ListParagraph"/>
        <w:numPr>
          <w:ilvl w:val="0"/>
          <w:numId w:val="3"/>
        </w:numPr>
        <w:rPr>
          <w:rFonts w:ascii="Times New Roman" w:eastAsia="Times New Roman" w:hAnsi="Times New Roman" w:cs="Times New Roman"/>
          <w:color w:val="000000"/>
          <w:shd w:val="clear" w:color="auto" w:fill="FFFFFF"/>
          <w:lang w:val="en-AU"/>
        </w:rPr>
      </w:pPr>
      <w:r w:rsidRPr="004F2FCF">
        <w:rPr>
          <w:rFonts w:ascii="Times New Roman" w:hAnsi="Times New Roman" w:cs="Times New Roman"/>
          <w:lang w:val="en-AU"/>
        </w:rPr>
        <w:t xml:space="preserve">4. </w:t>
      </w:r>
      <w:r w:rsidRPr="004F2FCF">
        <w:rPr>
          <w:rFonts w:ascii="Times New Roman" w:eastAsia="Times New Roman" w:hAnsi="Times New Roman" w:cs="Times New Roman"/>
          <w:color w:val="303030"/>
          <w:shd w:val="clear" w:color="auto" w:fill="FFFFFF"/>
          <w:lang w:val="en-AU"/>
        </w:rPr>
        <w:t>Study of prevalence of epilepsy in children with type 1 diabetes mellitus.</w:t>
      </w:r>
      <w:r w:rsidRPr="004F2FCF">
        <w:rPr>
          <w:rFonts w:ascii="Times New Roman" w:eastAsia="Times New Roman" w:hAnsi="Times New Roman" w:cs="Times New Roman"/>
          <w:lang w:val="en-AU"/>
        </w:rPr>
        <w:t xml:space="preserve"> </w:t>
      </w:r>
      <w:proofErr w:type="spellStart"/>
      <w:r w:rsidRPr="004F2FCF">
        <w:rPr>
          <w:rFonts w:ascii="Times New Roman" w:eastAsia="Times New Roman" w:hAnsi="Times New Roman" w:cs="Times New Roman"/>
          <w:i/>
          <w:iCs/>
          <w:color w:val="303030"/>
          <w:lang w:val="en-AU"/>
        </w:rPr>
        <w:t>Ramakrishnan</w:t>
      </w:r>
      <w:proofErr w:type="spellEnd"/>
      <w:r w:rsidRPr="004F2FCF">
        <w:rPr>
          <w:rFonts w:ascii="Times New Roman" w:eastAsia="Times New Roman" w:hAnsi="Times New Roman" w:cs="Times New Roman"/>
          <w:i/>
          <w:iCs/>
          <w:color w:val="303030"/>
          <w:lang w:val="en-AU"/>
        </w:rPr>
        <w:t xml:space="preserve"> R, Appleton R Seizure. 2012 May; 21(4)</w:t>
      </w:r>
      <w:proofErr w:type="gramStart"/>
      <w:r w:rsidRPr="004F2FCF">
        <w:rPr>
          <w:rFonts w:ascii="Times New Roman" w:eastAsia="Times New Roman" w:hAnsi="Times New Roman" w:cs="Times New Roman"/>
          <w:i/>
          <w:iCs/>
          <w:color w:val="303030"/>
          <w:lang w:val="en-AU"/>
        </w:rPr>
        <w:t>:292</w:t>
      </w:r>
      <w:proofErr w:type="gramEnd"/>
      <w:r w:rsidRPr="004F2FCF">
        <w:rPr>
          <w:rFonts w:ascii="Times New Roman" w:eastAsia="Times New Roman" w:hAnsi="Times New Roman" w:cs="Times New Roman"/>
          <w:i/>
          <w:iCs/>
          <w:color w:val="303030"/>
          <w:lang w:val="en-AU"/>
        </w:rPr>
        <w:t>-4</w:t>
      </w:r>
    </w:p>
    <w:p w14:paraId="430A950D" w14:textId="77777777" w:rsidR="004D367C" w:rsidRPr="004F2FCF" w:rsidRDefault="004D367C" w:rsidP="004D367C">
      <w:pPr>
        <w:rPr>
          <w:rFonts w:ascii="Times New Roman" w:eastAsia="Times New Roman" w:hAnsi="Times New Roman" w:cs="Times New Roman"/>
          <w:lang w:val="en-AU"/>
        </w:rPr>
      </w:pPr>
    </w:p>
    <w:p w14:paraId="0804FAAE" w14:textId="77777777" w:rsidR="004D367C" w:rsidRPr="004F2FCF" w:rsidRDefault="004D367C" w:rsidP="004D367C">
      <w:pPr>
        <w:pStyle w:val="ListParagraph"/>
        <w:numPr>
          <w:ilvl w:val="0"/>
          <w:numId w:val="3"/>
        </w:numPr>
        <w:rPr>
          <w:rFonts w:ascii="Times New Roman" w:eastAsia="Times New Roman" w:hAnsi="Times New Roman" w:cs="Times New Roman"/>
          <w:color w:val="000000"/>
          <w:shd w:val="clear" w:color="auto" w:fill="FFFFFF"/>
          <w:lang w:val="en-AU"/>
        </w:rPr>
      </w:pPr>
      <w:r w:rsidRPr="004F2FCF">
        <w:rPr>
          <w:rFonts w:ascii="Times New Roman" w:eastAsia="Times New Roman" w:hAnsi="Times New Roman" w:cs="Times New Roman"/>
          <w:lang w:val="en-AU"/>
        </w:rPr>
        <w:t xml:space="preserve">5. </w:t>
      </w:r>
      <w:r w:rsidRPr="004F2FCF">
        <w:rPr>
          <w:rFonts w:ascii="Times New Roman" w:eastAsia="Times New Roman" w:hAnsi="Times New Roman" w:cs="Times New Roman"/>
          <w:color w:val="303030"/>
          <w:shd w:val="clear" w:color="auto" w:fill="FFFFFF"/>
          <w:lang w:val="en-AU"/>
        </w:rPr>
        <w:t>An association between type 1 diabetes and idiopathic generalized epilepsy.</w:t>
      </w:r>
      <w:r w:rsidRPr="004F2FCF">
        <w:rPr>
          <w:rFonts w:ascii="Times New Roman" w:eastAsia="Times New Roman" w:hAnsi="Times New Roman" w:cs="Times New Roman"/>
          <w:lang w:val="en-AU"/>
        </w:rPr>
        <w:t xml:space="preserve"> </w:t>
      </w:r>
      <w:proofErr w:type="spellStart"/>
      <w:r w:rsidRPr="004F2FCF">
        <w:rPr>
          <w:rFonts w:ascii="Times New Roman" w:eastAsia="Times New Roman" w:hAnsi="Times New Roman" w:cs="Times New Roman"/>
          <w:i/>
          <w:iCs/>
          <w:color w:val="303030"/>
          <w:lang w:val="en-AU"/>
        </w:rPr>
        <w:t>McCorry</w:t>
      </w:r>
      <w:proofErr w:type="spellEnd"/>
      <w:r w:rsidRPr="004F2FCF">
        <w:rPr>
          <w:rFonts w:ascii="Times New Roman" w:eastAsia="Times New Roman" w:hAnsi="Times New Roman" w:cs="Times New Roman"/>
          <w:i/>
          <w:iCs/>
          <w:color w:val="303030"/>
          <w:lang w:val="en-AU"/>
        </w:rPr>
        <w:t xml:space="preserve"> D, Nicolson A, Smith D, </w:t>
      </w:r>
      <w:proofErr w:type="spellStart"/>
      <w:r w:rsidRPr="004F2FCF">
        <w:rPr>
          <w:rFonts w:ascii="Times New Roman" w:eastAsia="Times New Roman" w:hAnsi="Times New Roman" w:cs="Times New Roman"/>
          <w:i/>
          <w:iCs/>
          <w:color w:val="303030"/>
          <w:lang w:val="en-AU"/>
        </w:rPr>
        <w:t>Marson</w:t>
      </w:r>
      <w:proofErr w:type="spellEnd"/>
      <w:r w:rsidRPr="004F2FCF">
        <w:rPr>
          <w:rFonts w:ascii="Times New Roman" w:eastAsia="Times New Roman" w:hAnsi="Times New Roman" w:cs="Times New Roman"/>
          <w:i/>
          <w:iCs/>
          <w:color w:val="303030"/>
          <w:lang w:val="en-AU"/>
        </w:rPr>
        <w:t xml:space="preserve"> A, </w:t>
      </w:r>
      <w:proofErr w:type="spellStart"/>
      <w:r w:rsidRPr="004F2FCF">
        <w:rPr>
          <w:rFonts w:ascii="Times New Roman" w:eastAsia="Times New Roman" w:hAnsi="Times New Roman" w:cs="Times New Roman"/>
          <w:i/>
          <w:iCs/>
          <w:color w:val="303030"/>
          <w:lang w:val="en-AU"/>
        </w:rPr>
        <w:t>Feltbower</w:t>
      </w:r>
      <w:proofErr w:type="spellEnd"/>
      <w:r w:rsidRPr="004F2FCF">
        <w:rPr>
          <w:rFonts w:ascii="Times New Roman" w:eastAsia="Times New Roman" w:hAnsi="Times New Roman" w:cs="Times New Roman"/>
          <w:i/>
          <w:iCs/>
          <w:color w:val="303030"/>
          <w:lang w:val="en-AU"/>
        </w:rPr>
        <w:t xml:space="preserve"> RG, Chadwick DW</w:t>
      </w:r>
      <w:r w:rsidRPr="004F2FCF">
        <w:rPr>
          <w:rFonts w:ascii="Times New Roman" w:eastAsia="Times New Roman" w:hAnsi="Times New Roman" w:cs="Times New Roman"/>
          <w:lang w:val="en-AU"/>
        </w:rPr>
        <w:t xml:space="preserve"> </w:t>
      </w:r>
      <w:r w:rsidRPr="004F2FCF">
        <w:rPr>
          <w:rFonts w:ascii="Times New Roman" w:eastAsia="Times New Roman" w:hAnsi="Times New Roman" w:cs="Times New Roman"/>
          <w:i/>
          <w:iCs/>
          <w:color w:val="303030"/>
          <w:lang w:val="en-AU"/>
        </w:rPr>
        <w:t>Ann Neurol. 2006 Jan; 59(1)</w:t>
      </w:r>
      <w:proofErr w:type="gramStart"/>
      <w:r w:rsidRPr="004F2FCF">
        <w:rPr>
          <w:rFonts w:ascii="Times New Roman" w:eastAsia="Times New Roman" w:hAnsi="Times New Roman" w:cs="Times New Roman"/>
          <w:i/>
          <w:iCs/>
          <w:color w:val="303030"/>
          <w:lang w:val="en-AU"/>
        </w:rPr>
        <w:t>:204</w:t>
      </w:r>
      <w:proofErr w:type="gramEnd"/>
      <w:r w:rsidRPr="004F2FCF">
        <w:rPr>
          <w:rFonts w:ascii="Times New Roman" w:eastAsia="Times New Roman" w:hAnsi="Times New Roman" w:cs="Times New Roman"/>
          <w:i/>
          <w:iCs/>
          <w:color w:val="303030"/>
          <w:lang w:val="en-AU"/>
        </w:rPr>
        <w:t>-6.</w:t>
      </w:r>
    </w:p>
    <w:p w14:paraId="4211885A" w14:textId="77777777" w:rsidR="004D367C" w:rsidRPr="004F2FCF" w:rsidRDefault="004D367C" w:rsidP="004D367C">
      <w:pPr>
        <w:rPr>
          <w:rFonts w:ascii="Times New Roman" w:eastAsia="Times New Roman" w:hAnsi="Times New Roman" w:cs="Times New Roman"/>
          <w:lang w:val="en-AU"/>
        </w:rPr>
      </w:pPr>
    </w:p>
    <w:p w14:paraId="35A8C5CE" w14:textId="77777777" w:rsidR="004D367C" w:rsidRPr="004F2FCF" w:rsidRDefault="004D367C" w:rsidP="004D367C">
      <w:pPr>
        <w:pStyle w:val="ListParagraph"/>
        <w:numPr>
          <w:ilvl w:val="0"/>
          <w:numId w:val="3"/>
        </w:numPr>
        <w:rPr>
          <w:rFonts w:ascii="Times New Roman" w:hAnsi="Times New Roman" w:cs="Times New Roman"/>
          <w:lang w:val="en-AU"/>
        </w:rPr>
      </w:pPr>
      <w:r w:rsidRPr="004F2FCF">
        <w:rPr>
          <w:rFonts w:ascii="Times New Roman" w:hAnsi="Times New Roman" w:cs="Times New Roman"/>
        </w:rPr>
        <w:t xml:space="preserve">6. </w:t>
      </w:r>
      <w:r w:rsidRPr="004F2FCF">
        <w:rPr>
          <w:rFonts w:ascii="Times New Roman" w:hAnsi="Times New Roman" w:cs="Times New Roman"/>
          <w:lang w:val="en-AU"/>
        </w:rPr>
        <w:t xml:space="preserve">Autoimmune Limbic Encephalitis Associated with Type 1 Diabetes Mellitus.” Akın, </w:t>
      </w:r>
      <w:proofErr w:type="spellStart"/>
      <w:r w:rsidRPr="004F2FCF">
        <w:rPr>
          <w:rFonts w:ascii="Times New Roman" w:hAnsi="Times New Roman" w:cs="Times New Roman"/>
          <w:lang w:val="en-AU"/>
        </w:rPr>
        <w:t>Onur</w:t>
      </w:r>
      <w:proofErr w:type="spellEnd"/>
      <w:r w:rsidRPr="004F2FCF">
        <w:rPr>
          <w:rFonts w:ascii="Times New Roman" w:hAnsi="Times New Roman" w:cs="Times New Roman"/>
          <w:lang w:val="en-AU"/>
        </w:rPr>
        <w:t xml:space="preserve"> et al. “</w:t>
      </w:r>
      <w:r w:rsidRPr="004F2FCF">
        <w:rPr>
          <w:rFonts w:ascii="Times New Roman" w:hAnsi="Times New Roman" w:cs="Times New Roman"/>
          <w:i/>
          <w:iCs/>
          <w:lang w:val="en-AU"/>
        </w:rPr>
        <w:t>Journal of clinical research in paediatric endocrinology</w:t>
      </w:r>
      <w:r w:rsidRPr="004F2FCF">
        <w:rPr>
          <w:rFonts w:ascii="Times New Roman" w:hAnsi="Times New Roman" w:cs="Times New Roman"/>
          <w:lang w:val="en-AU"/>
        </w:rPr>
        <w:t xml:space="preserve"> vol. 9,4 (2017): 387-388. </w:t>
      </w:r>
      <w:proofErr w:type="gramStart"/>
      <w:r w:rsidRPr="004F2FCF">
        <w:rPr>
          <w:rFonts w:ascii="Times New Roman" w:hAnsi="Times New Roman" w:cs="Times New Roman"/>
          <w:lang w:val="en-AU"/>
        </w:rPr>
        <w:t>doi:10.4274</w:t>
      </w:r>
      <w:proofErr w:type="gramEnd"/>
      <w:r w:rsidRPr="004F2FCF">
        <w:rPr>
          <w:rFonts w:ascii="Times New Roman" w:hAnsi="Times New Roman" w:cs="Times New Roman"/>
          <w:lang w:val="en-AU"/>
        </w:rPr>
        <w:t>/jcrpe.3818</w:t>
      </w:r>
    </w:p>
    <w:p w14:paraId="26B932E6" w14:textId="77777777" w:rsidR="004D367C" w:rsidRPr="004F2FCF" w:rsidRDefault="004D367C" w:rsidP="004D367C">
      <w:pPr>
        <w:rPr>
          <w:rFonts w:ascii="Times New Roman" w:hAnsi="Times New Roman" w:cs="Times New Roman"/>
          <w:lang w:val="en-AU"/>
        </w:rPr>
      </w:pPr>
    </w:p>
    <w:p w14:paraId="29E26AD6" w14:textId="77777777" w:rsidR="004D367C" w:rsidRPr="004F2FCF" w:rsidRDefault="004D367C" w:rsidP="004D367C">
      <w:pPr>
        <w:pStyle w:val="ListParagraph"/>
        <w:numPr>
          <w:ilvl w:val="0"/>
          <w:numId w:val="3"/>
        </w:numPr>
        <w:rPr>
          <w:rFonts w:ascii="Times New Roman" w:hAnsi="Times New Roman" w:cs="Times New Roman"/>
          <w:lang w:val="en-AU"/>
        </w:rPr>
      </w:pPr>
      <w:r w:rsidRPr="004F2FCF">
        <w:rPr>
          <w:rFonts w:ascii="Times New Roman" w:hAnsi="Times New Roman" w:cs="Times New Roman"/>
          <w:bCs/>
          <w:lang w:val="en-AU"/>
        </w:rPr>
        <w:t>AUTOIMMUNE LIMBIC ENCEPHALITIS (CASE REPORTS)</w:t>
      </w:r>
      <w:proofErr w:type="gramStart"/>
      <w:r w:rsidRPr="004F2FCF">
        <w:rPr>
          <w:rFonts w:ascii="Times New Roman" w:hAnsi="Times New Roman" w:cs="Times New Roman"/>
          <w:bCs/>
          <w:lang w:val="en-AU"/>
        </w:rPr>
        <w:t>.</w:t>
      </w:r>
      <w:proofErr w:type="spellStart"/>
      <w:r w:rsidRPr="004F2FCF">
        <w:rPr>
          <w:rFonts w:ascii="Times New Roman" w:hAnsi="Times New Roman" w:cs="Times New Roman"/>
          <w:lang w:val="en-AU"/>
        </w:rPr>
        <w:t>Kobaidze</w:t>
      </w:r>
      <w:proofErr w:type="spellEnd"/>
      <w:proofErr w:type="gramEnd"/>
      <w:r w:rsidRPr="004F2FCF">
        <w:rPr>
          <w:rFonts w:ascii="Times New Roman" w:hAnsi="Times New Roman" w:cs="Times New Roman"/>
          <w:lang w:val="en-AU"/>
        </w:rPr>
        <w:t xml:space="preserve"> K, Harrison A, </w:t>
      </w:r>
      <w:proofErr w:type="spellStart"/>
      <w:r w:rsidRPr="004F2FCF">
        <w:rPr>
          <w:rFonts w:ascii="Times New Roman" w:hAnsi="Times New Roman" w:cs="Times New Roman"/>
          <w:lang w:val="en-AU"/>
        </w:rPr>
        <w:t>Burklin</w:t>
      </w:r>
      <w:proofErr w:type="spellEnd"/>
      <w:r w:rsidRPr="004F2FCF">
        <w:rPr>
          <w:rFonts w:ascii="Times New Roman" w:hAnsi="Times New Roman" w:cs="Times New Roman"/>
          <w:lang w:val="en-AU"/>
        </w:rPr>
        <w:t xml:space="preserve"> Y, </w:t>
      </w:r>
      <w:proofErr w:type="spellStart"/>
      <w:r w:rsidRPr="004F2FCF">
        <w:rPr>
          <w:rFonts w:ascii="Times New Roman" w:hAnsi="Times New Roman" w:cs="Times New Roman"/>
          <w:lang w:val="en-AU"/>
        </w:rPr>
        <w:t>Patidar</w:t>
      </w:r>
      <w:proofErr w:type="spellEnd"/>
      <w:r w:rsidRPr="004F2FCF">
        <w:rPr>
          <w:rFonts w:ascii="Times New Roman" w:hAnsi="Times New Roman" w:cs="Times New Roman"/>
          <w:lang w:val="en-AU"/>
        </w:rPr>
        <w:t xml:space="preserve"> V, </w:t>
      </w:r>
      <w:proofErr w:type="spellStart"/>
      <w:r w:rsidRPr="004F2FCF">
        <w:rPr>
          <w:rFonts w:ascii="Times New Roman" w:hAnsi="Times New Roman" w:cs="Times New Roman"/>
          <w:lang w:val="en-AU"/>
        </w:rPr>
        <w:t>Riccardi</w:t>
      </w:r>
      <w:proofErr w:type="spellEnd"/>
      <w:r w:rsidRPr="004F2FCF">
        <w:rPr>
          <w:rFonts w:ascii="Times New Roman" w:hAnsi="Times New Roman" w:cs="Times New Roman"/>
          <w:lang w:val="en-AU"/>
        </w:rPr>
        <w:t xml:space="preserve"> M.2017 May;(266):69-74.Emory University School of Medicine, Division of Hospital Medicine; 2Division of Neurology Atlanta, USA.</w:t>
      </w:r>
    </w:p>
    <w:p w14:paraId="6E295FF1" w14:textId="77777777" w:rsidR="004D367C" w:rsidRPr="004F2FCF" w:rsidRDefault="004D367C" w:rsidP="004D367C">
      <w:pPr>
        <w:rPr>
          <w:rFonts w:ascii="Times New Roman" w:hAnsi="Times New Roman" w:cs="Times New Roman"/>
          <w:lang w:val="en-AU"/>
        </w:rPr>
      </w:pPr>
    </w:p>
    <w:p w14:paraId="44529657" w14:textId="77777777" w:rsidR="004D367C" w:rsidRPr="004F2FCF" w:rsidRDefault="004D367C" w:rsidP="004D367C">
      <w:pPr>
        <w:pStyle w:val="ListParagraph"/>
        <w:numPr>
          <w:ilvl w:val="0"/>
          <w:numId w:val="3"/>
        </w:numPr>
        <w:rPr>
          <w:rFonts w:ascii="Times New Roman" w:hAnsi="Times New Roman" w:cs="Times New Roman"/>
          <w:lang w:val="en-AU"/>
        </w:rPr>
      </w:pPr>
      <w:r w:rsidRPr="004F2FCF">
        <w:rPr>
          <w:rFonts w:ascii="Times New Roman" w:hAnsi="Times New Roman" w:cs="Times New Roman"/>
        </w:rPr>
        <w:t xml:space="preserve">8. </w:t>
      </w:r>
      <w:r w:rsidRPr="004F2FCF">
        <w:rPr>
          <w:rFonts w:ascii="Times New Roman" w:hAnsi="Times New Roman" w:cs="Times New Roman"/>
          <w:bCs/>
          <w:lang w:val="en-AU"/>
        </w:rPr>
        <w:t>Antibodies to glutamic acid decarboxylase define a form of limbic encephalitis.</w:t>
      </w:r>
      <w:r w:rsidRPr="004F2FCF">
        <w:rPr>
          <w:rFonts w:ascii="Times New Roman" w:hAnsi="Times New Roman" w:cs="Times New Roman"/>
          <w:b/>
          <w:bCs/>
          <w:lang w:val="en-AU"/>
        </w:rPr>
        <w:t xml:space="preserve"> </w:t>
      </w:r>
      <w:proofErr w:type="spellStart"/>
      <w:r w:rsidRPr="004F2FCF">
        <w:rPr>
          <w:rFonts w:ascii="Times New Roman" w:hAnsi="Times New Roman" w:cs="Times New Roman"/>
          <w:lang w:val="en-AU"/>
        </w:rPr>
        <w:t>Malter</w:t>
      </w:r>
      <w:proofErr w:type="spellEnd"/>
      <w:r w:rsidRPr="004F2FCF">
        <w:rPr>
          <w:rFonts w:ascii="Times New Roman" w:hAnsi="Times New Roman" w:cs="Times New Roman"/>
          <w:lang w:val="en-AU"/>
        </w:rPr>
        <w:t xml:space="preserve"> MP</w:t>
      </w:r>
      <w:r w:rsidRPr="004F2FCF">
        <w:rPr>
          <w:rFonts w:ascii="Times New Roman" w:hAnsi="Times New Roman" w:cs="Times New Roman"/>
          <w:vertAlign w:val="superscript"/>
          <w:lang w:val="en-AU"/>
        </w:rPr>
        <w:t>1</w:t>
      </w:r>
      <w:r w:rsidRPr="004F2FCF">
        <w:rPr>
          <w:rFonts w:ascii="Times New Roman" w:hAnsi="Times New Roman" w:cs="Times New Roman"/>
          <w:lang w:val="en-AU"/>
        </w:rPr>
        <w:t>, </w:t>
      </w:r>
      <w:proofErr w:type="spellStart"/>
      <w:r w:rsidRPr="004F2FCF">
        <w:rPr>
          <w:rFonts w:ascii="Times New Roman" w:hAnsi="Times New Roman" w:cs="Times New Roman"/>
          <w:lang w:val="en-AU"/>
        </w:rPr>
        <w:t>Helmstaedter</w:t>
      </w:r>
      <w:proofErr w:type="spellEnd"/>
      <w:r w:rsidRPr="004F2FCF">
        <w:rPr>
          <w:rFonts w:ascii="Times New Roman" w:hAnsi="Times New Roman" w:cs="Times New Roman"/>
          <w:lang w:val="en-AU"/>
        </w:rPr>
        <w:t xml:space="preserve"> C, </w:t>
      </w:r>
      <w:proofErr w:type="spellStart"/>
      <w:r w:rsidRPr="004F2FCF">
        <w:rPr>
          <w:rFonts w:ascii="Times New Roman" w:hAnsi="Times New Roman" w:cs="Times New Roman"/>
          <w:lang w:val="en-AU"/>
        </w:rPr>
        <w:t>Urbach</w:t>
      </w:r>
      <w:proofErr w:type="spellEnd"/>
      <w:r w:rsidRPr="004F2FCF">
        <w:rPr>
          <w:rFonts w:ascii="Times New Roman" w:hAnsi="Times New Roman" w:cs="Times New Roman"/>
          <w:lang w:val="en-AU"/>
        </w:rPr>
        <w:t xml:space="preserve"> H, Vincent A, Bien CG. 010 Apr</w:t>
      </w:r>
      <w:proofErr w:type="gramStart"/>
      <w:r w:rsidRPr="004F2FCF">
        <w:rPr>
          <w:rFonts w:ascii="Times New Roman" w:hAnsi="Times New Roman" w:cs="Times New Roman"/>
          <w:lang w:val="en-AU"/>
        </w:rPr>
        <w:t>;67</w:t>
      </w:r>
      <w:proofErr w:type="gramEnd"/>
      <w:r w:rsidRPr="004F2FCF">
        <w:rPr>
          <w:rFonts w:ascii="Times New Roman" w:hAnsi="Times New Roman" w:cs="Times New Roman"/>
          <w:lang w:val="en-AU"/>
        </w:rPr>
        <w:t xml:space="preserve">(4):470-8. </w:t>
      </w:r>
      <w:proofErr w:type="spellStart"/>
      <w:proofErr w:type="gramStart"/>
      <w:r w:rsidRPr="004F2FCF">
        <w:rPr>
          <w:rFonts w:ascii="Times New Roman" w:hAnsi="Times New Roman" w:cs="Times New Roman"/>
          <w:lang w:val="en-AU"/>
        </w:rPr>
        <w:t>doi</w:t>
      </w:r>
      <w:proofErr w:type="spellEnd"/>
      <w:proofErr w:type="gramEnd"/>
      <w:r w:rsidRPr="004F2FCF">
        <w:rPr>
          <w:rFonts w:ascii="Times New Roman" w:hAnsi="Times New Roman" w:cs="Times New Roman"/>
          <w:lang w:val="en-AU"/>
        </w:rPr>
        <w:t>: 10.1002/ana.21917.</w:t>
      </w:r>
    </w:p>
    <w:p w14:paraId="2F5E4FC3" w14:textId="77777777" w:rsidR="004D367C" w:rsidRPr="004F2FCF" w:rsidRDefault="004D367C" w:rsidP="004D367C">
      <w:pPr>
        <w:rPr>
          <w:rFonts w:ascii="Times New Roman" w:hAnsi="Times New Roman" w:cs="Times New Roman"/>
        </w:rPr>
      </w:pPr>
    </w:p>
    <w:p w14:paraId="5026C29B" w14:textId="77777777" w:rsidR="004D367C" w:rsidRPr="004F2FCF" w:rsidRDefault="004D367C" w:rsidP="004D367C">
      <w:pPr>
        <w:pStyle w:val="ListParagraph"/>
        <w:numPr>
          <w:ilvl w:val="0"/>
          <w:numId w:val="3"/>
        </w:numPr>
        <w:rPr>
          <w:rFonts w:ascii="Times New Roman" w:hAnsi="Times New Roman" w:cs="Times New Roman"/>
        </w:rPr>
      </w:pPr>
      <w:r w:rsidRPr="004F2FCF">
        <w:rPr>
          <w:rFonts w:ascii="Times New Roman" w:hAnsi="Times New Roman" w:cs="Times New Roman"/>
        </w:rPr>
        <w:t xml:space="preserve">9. </w:t>
      </w:r>
      <w:r w:rsidRPr="004F2FCF">
        <w:rPr>
          <w:rFonts w:ascii="Times New Roman" w:hAnsi="Times New Roman" w:cs="Times New Roman"/>
          <w:lang w:val="en-AU"/>
        </w:rPr>
        <w:t xml:space="preserve">Autoimmune Limbic Encephalitis Associated With Type 1 Diabetes Mellitus. </w:t>
      </w:r>
      <w:proofErr w:type="spellStart"/>
      <w:r w:rsidRPr="004F2FCF">
        <w:rPr>
          <w:rFonts w:ascii="Times New Roman" w:hAnsi="Times New Roman" w:cs="Times New Roman"/>
          <w:lang w:val="en-AU"/>
        </w:rPr>
        <w:t>Akbaş</w:t>
      </w:r>
      <w:proofErr w:type="spellEnd"/>
      <w:r w:rsidRPr="004F2FCF">
        <w:rPr>
          <w:rFonts w:ascii="Times New Roman" w:hAnsi="Times New Roman" w:cs="Times New Roman"/>
          <w:lang w:val="en-AU"/>
        </w:rPr>
        <w:t xml:space="preserve">, </w:t>
      </w:r>
      <w:proofErr w:type="spellStart"/>
      <w:r w:rsidRPr="004F2FCF">
        <w:rPr>
          <w:rFonts w:ascii="Times New Roman" w:hAnsi="Times New Roman" w:cs="Times New Roman"/>
          <w:lang w:val="en-AU"/>
        </w:rPr>
        <w:t>Yılmaz</w:t>
      </w:r>
      <w:proofErr w:type="spellEnd"/>
      <w:r w:rsidRPr="004F2FCF">
        <w:rPr>
          <w:rFonts w:ascii="Times New Roman" w:hAnsi="Times New Roman" w:cs="Times New Roman"/>
          <w:lang w:val="en-AU"/>
        </w:rPr>
        <w:t xml:space="preserve"> &amp; </w:t>
      </w:r>
      <w:proofErr w:type="spellStart"/>
      <w:r w:rsidRPr="004F2FCF">
        <w:rPr>
          <w:rFonts w:ascii="Times New Roman" w:hAnsi="Times New Roman" w:cs="Times New Roman"/>
          <w:lang w:val="en-AU"/>
        </w:rPr>
        <w:t>Bideci</w:t>
      </w:r>
      <w:proofErr w:type="spellEnd"/>
      <w:r w:rsidRPr="004F2FCF">
        <w:rPr>
          <w:rFonts w:ascii="Times New Roman" w:hAnsi="Times New Roman" w:cs="Times New Roman"/>
          <w:lang w:val="en-AU"/>
        </w:rPr>
        <w:t xml:space="preserve">, </w:t>
      </w:r>
      <w:proofErr w:type="spellStart"/>
      <w:r w:rsidRPr="004F2FCF">
        <w:rPr>
          <w:rFonts w:ascii="Times New Roman" w:hAnsi="Times New Roman" w:cs="Times New Roman"/>
          <w:lang w:val="en-AU"/>
        </w:rPr>
        <w:t>Aysun</w:t>
      </w:r>
      <w:proofErr w:type="spellEnd"/>
      <w:r w:rsidRPr="004F2FCF">
        <w:rPr>
          <w:rFonts w:ascii="Times New Roman" w:hAnsi="Times New Roman" w:cs="Times New Roman"/>
          <w:lang w:val="en-AU"/>
        </w:rPr>
        <w:t xml:space="preserve"> &amp; </w:t>
      </w:r>
      <w:proofErr w:type="spellStart"/>
      <w:r w:rsidRPr="004F2FCF">
        <w:rPr>
          <w:rFonts w:ascii="Times New Roman" w:hAnsi="Times New Roman" w:cs="Times New Roman"/>
          <w:lang w:val="en-AU"/>
        </w:rPr>
        <w:t>Yüce</w:t>
      </w:r>
      <w:proofErr w:type="spellEnd"/>
      <w:r w:rsidRPr="004F2FCF">
        <w:rPr>
          <w:rFonts w:ascii="Times New Roman" w:hAnsi="Times New Roman" w:cs="Times New Roman"/>
          <w:lang w:val="en-AU"/>
        </w:rPr>
        <w:t xml:space="preserve">, </w:t>
      </w:r>
      <w:proofErr w:type="spellStart"/>
      <w:r w:rsidRPr="004F2FCF">
        <w:rPr>
          <w:rFonts w:ascii="Times New Roman" w:hAnsi="Times New Roman" w:cs="Times New Roman"/>
          <w:lang w:val="en-AU"/>
        </w:rPr>
        <w:t>Ozge</w:t>
      </w:r>
      <w:proofErr w:type="spellEnd"/>
      <w:r w:rsidRPr="004F2FCF">
        <w:rPr>
          <w:rFonts w:ascii="Times New Roman" w:hAnsi="Times New Roman" w:cs="Times New Roman"/>
          <w:lang w:val="en-AU"/>
        </w:rPr>
        <w:t xml:space="preserve"> &amp; </w:t>
      </w:r>
      <w:proofErr w:type="spellStart"/>
      <w:r w:rsidRPr="004F2FCF">
        <w:rPr>
          <w:rFonts w:ascii="Times New Roman" w:hAnsi="Times New Roman" w:cs="Times New Roman"/>
          <w:lang w:val="en-AU"/>
        </w:rPr>
        <w:t>Gücüyener</w:t>
      </w:r>
      <w:proofErr w:type="spellEnd"/>
      <w:r w:rsidRPr="004F2FCF">
        <w:rPr>
          <w:rFonts w:ascii="Times New Roman" w:hAnsi="Times New Roman" w:cs="Times New Roman"/>
          <w:lang w:val="en-AU"/>
        </w:rPr>
        <w:t xml:space="preserve">, </w:t>
      </w:r>
      <w:proofErr w:type="spellStart"/>
      <w:r w:rsidRPr="004F2FCF">
        <w:rPr>
          <w:rFonts w:ascii="Times New Roman" w:hAnsi="Times New Roman" w:cs="Times New Roman"/>
          <w:lang w:val="en-AU"/>
        </w:rPr>
        <w:t>Kivilcim</w:t>
      </w:r>
      <w:proofErr w:type="spellEnd"/>
      <w:r w:rsidRPr="004F2FCF">
        <w:rPr>
          <w:rFonts w:ascii="Times New Roman" w:hAnsi="Times New Roman" w:cs="Times New Roman"/>
          <w:lang w:val="en-AU"/>
        </w:rPr>
        <w:t xml:space="preserve"> &amp; </w:t>
      </w:r>
      <w:proofErr w:type="spellStart"/>
      <w:r w:rsidRPr="004F2FCF">
        <w:rPr>
          <w:rFonts w:ascii="Times New Roman" w:hAnsi="Times New Roman" w:cs="Times New Roman"/>
          <w:lang w:val="en-AU"/>
        </w:rPr>
        <w:t>Çamurdan</w:t>
      </w:r>
      <w:proofErr w:type="spellEnd"/>
      <w:r w:rsidRPr="004F2FCF">
        <w:rPr>
          <w:rFonts w:ascii="Times New Roman" w:hAnsi="Times New Roman" w:cs="Times New Roman"/>
          <w:lang w:val="en-AU"/>
        </w:rPr>
        <w:t xml:space="preserve">, </w:t>
      </w:r>
      <w:proofErr w:type="spellStart"/>
      <w:r w:rsidRPr="004F2FCF">
        <w:rPr>
          <w:rFonts w:ascii="Times New Roman" w:hAnsi="Times New Roman" w:cs="Times New Roman"/>
          <w:lang w:val="en-AU"/>
        </w:rPr>
        <w:t>Orhun</w:t>
      </w:r>
      <w:proofErr w:type="spellEnd"/>
      <w:r w:rsidRPr="004F2FCF">
        <w:rPr>
          <w:rFonts w:ascii="Times New Roman" w:hAnsi="Times New Roman" w:cs="Times New Roman"/>
          <w:lang w:val="en-AU"/>
        </w:rPr>
        <w:t xml:space="preserve"> &amp; </w:t>
      </w:r>
      <w:proofErr w:type="spellStart"/>
      <w:r w:rsidRPr="004F2FCF">
        <w:rPr>
          <w:rFonts w:ascii="Times New Roman" w:hAnsi="Times New Roman" w:cs="Times New Roman"/>
          <w:lang w:val="en-AU"/>
        </w:rPr>
        <w:t>Karabacak</w:t>
      </w:r>
      <w:proofErr w:type="spellEnd"/>
      <w:r w:rsidRPr="004F2FCF">
        <w:rPr>
          <w:rFonts w:ascii="Times New Roman" w:hAnsi="Times New Roman" w:cs="Times New Roman"/>
          <w:lang w:val="en-AU"/>
        </w:rPr>
        <w:t xml:space="preserve">, </w:t>
      </w:r>
      <w:proofErr w:type="spellStart"/>
      <w:r w:rsidRPr="004F2FCF">
        <w:rPr>
          <w:rFonts w:ascii="Times New Roman" w:hAnsi="Times New Roman" w:cs="Times New Roman"/>
          <w:lang w:val="en-AU"/>
        </w:rPr>
        <w:t>Neşe</w:t>
      </w:r>
      <w:proofErr w:type="spellEnd"/>
      <w:r w:rsidRPr="004F2FCF">
        <w:rPr>
          <w:rFonts w:ascii="Times New Roman" w:hAnsi="Times New Roman" w:cs="Times New Roman"/>
          <w:lang w:val="en-AU"/>
        </w:rPr>
        <w:t xml:space="preserve"> &amp; </w:t>
      </w:r>
      <w:proofErr w:type="spellStart"/>
      <w:r w:rsidRPr="004F2FCF">
        <w:rPr>
          <w:rFonts w:ascii="Times New Roman" w:hAnsi="Times New Roman" w:cs="Times New Roman"/>
          <w:lang w:val="en-AU"/>
        </w:rPr>
        <w:t>Cinaz</w:t>
      </w:r>
      <w:proofErr w:type="spellEnd"/>
      <w:r w:rsidRPr="004F2FCF">
        <w:rPr>
          <w:rFonts w:ascii="Times New Roman" w:hAnsi="Times New Roman" w:cs="Times New Roman"/>
          <w:lang w:val="en-AU"/>
        </w:rPr>
        <w:t xml:space="preserve">, </w:t>
      </w:r>
      <w:proofErr w:type="spellStart"/>
      <w:r w:rsidRPr="004F2FCF">
        <w:rPr>
          <w:rFonts w:ascii="Times New Roman" w:hAnsi="Times New Roman" w:cs="Times New Roman"/>
          <w:lang w:val="en-AU"/>
        </w:rPr>
        <w:t>Peyami</w:t>
      </w:r>
      <w:proofErr w:type="spellEnd"/>
      <w:r w:rsidRPr="004F2FCF">
        <w:rPr>
          <w:rFonts w:ascii="Times New Roman" w:hAnsi="Times New Roman" w:cs="Times New Roman"/>
          <w:lang w:val="en-AU"/>
        </w:rPr>
        <w:t xml:space="preserve">. (2017). Journal of Clinical Research in </w:t>
      </w:r>
      <w:proofErr w:type="spellStart"/>
      <w:r w:rsidRPr="004F2FCF">
        <w:rPr>
          <w:rFonts w:ascii="Times New Roman" w:hAnsi="Times New Roman" w:cs="Times New Roman"/>
          <w:lang w:val="en-AU"/>
        </w:rPr>
        <w:t>Pediatric</w:t>
      </w:r>
      <w:proofErr w:type="spellEnd"/>
      <w:r w:rsidRPr="004F2FCF">
        <w:rPr>
          <w:rFonts w:ascii="Times New Roman" w:hAnsi="Times New Roman" w:cs="Times New Roman"/>
          <w:lang w:val="en-AU"/>
        </w:rPr>
        <w:t xml:space="preserve"> Endocrinology. 9. 10.4274/jcrpe.3818.</w:t>
      </w:r>
    </w:p>
    <w:p w14:paraId="7A049B2F" w14:textId="77777777" w:rsidR="004D367C" w:rsidRPr="004F2FCF" w:rsidRDefault="004D367C" w:rsidP="004D367C">
      <w:pPr>
        <w:rPr>
          <w:rFonts w:ascii="Times New Roman" w:hAnsi="Times New Roman" w:cs="Times New Roman"/>
        </w:rPr>
      </w:pPr>
    </w:p>
    <w:p w14:paraId="1FE705E3" w14:textId="0829816D" w:rsidR="004D367C" w:rsidRPr="000F064E" w:rsidRDefault="004D367C" w:rsidP="00827228">
      <w:pPr>
        <w:pStyle w:val="ListParagraph"/>
        <w:numPr>
          <w:ilvl w:val="0"/>
          <w:numId w:val="3"/>
        </w:numPr>
        <w:rPr>
          <w:rFonts w:ascii="Times New Roman" w:hAnsi="Times New Roman" w:cs="Times New Roman"/>
          <w:lang w:val="en-AU"/>
        </w:rPr>
      </w:pPr>
      <w:r w:rsidRPr="004F2FCF">
        <w:rPr>
          <w:rFonts w:ascii="Times New Roman" w:hAnsi="Times New Roman" w:cs="Times New Roman"/>
        </w:rPr>
        <w:t xml:space="preserve">10. </w:t>
      </w:r>
      <w:r w:rsidRPr="004F2FCF">
        <w:rPr>
          <w:rFonts w:ascii="Times New Roman" w:hAnsi="Times New Roman" w:cs="Times New Roman"/>
          <w:lang w:val="en-AU"/>
        </w:rPr>
        <w:t xml:space="preserve">Clinical, Magnetic Resonance Imaging, and Electroencephalographic Findings in </w:t>
      </w:r>
      <w:proofErr w:type="spellStart"/>
      <w:r w:rsidRPr="004F2FCF">
        <w:rPr>
          <w:rFonts w:ascii="Times New Roman" w:hAnsi="Times New Roman" w:cs="Times New Roman"/>
          <w:lang w:val="en-AU"/>
        </w:rPr>
        <w:t>Paraneoplastic</w:t>
      </w:r>
      <w:proofErr w:type="spellEnd"/>
      <w:r w:rsidRPr="004F2FCF">
        <w:rPr>
          <w:rFonts w:ascii="Times New Roman" w:hAnsi="Times New Roman" w:cs="Times New Roman"/>
          <w:lang w:val="en-AU"/>
        </w:rPr>
        <w:t xml:space="preserve"> Limbic Encephalitis. </w:t>
      </w:r>
      <w:r w:rsidRPr="004F2FCF">
        <w:rPr>
          <w:rFonts w:ascii="Times New Roman" w:hAnsi="Times New Roman" w:cs="Times New Roman"/>
          <w:bCs/>
          <w:lang w:val="en-AU"/>
        </w:rPr>
        <w:t xml:space="preserve">N Lawn, B Westmoreland, M </w:t>
      </w:r>
      <w:proofErr w:type="spellStart"/>
      <w:r w:rsidRPr="004F2FCF">
        <w:rPr>
          <w:rFonts w:ascii="Times New Roman" w:hAnsi="Times New Roman" w:cs="Times New Roman"/>
          <w:bCs/>
          <w:lang w:val="en-AU"/>
        </w:rPr>
        <w:t>Kiely</w:t>
      </w:r>
      <w:proofErr w:type="spellEnd"/>
      <w:r w:rsidRPr="004F2FCF">
        <w:rPr>
          <w:rFonts w:ascii="Times New Roman" w:hAnsi="Times New Roman" w:cs="Times New Roman"/>
          <w:bCs/>
          <w:lang w:val="en-AU"/>
        </w:rPr>
        <w:t xml:space="preserve">, V Lennon, S </w:t>
      </w:r>
      <w:proofErr w:type="spellStart"/>
      <w:r w:rsidRPr="004F2FCF">
        <w:rPr>
          <w:rFonts w:ascii="Times New Roman" w:hAnsi="Times New Roman" w:cs="Times New Roman"/>
          <w:bCs/>
          <w:lang w:val="en-AU"/>
        </w:rPr>
        <w:t>Vernino</w:t>
      </w:r>
      <w:proofErr w:type="spellEnd"/>
      <w:r w:rsidRPr="004F2FCF">
        <w:rPr>
          <w:rFonts w:ascii="Times New Roman" w:hAnsi="Times New Roman" w:cs="Times New Roman"/>
          <w:bCs/>
          <w:lang w:val="en-AU"/>
        </w:rPr>
        <w:t>, 2003</w:t>
      </w:r>
      <w:bookmarkStart w:id="0" w:name="_GoBack"/>
      <w:bookmarkEnd w:id="0"/>
    </w:p>
    <w:sectPr w:rsidR="004D367C" w:rsidRPr="000F064E" w:rsidSect="00BD44B2">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Wingdings 2">
    <w:panose1 w:val="05020102010507070707"/>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2019CC"/>
    <w:multiLevelType w:val="hybridMultilevel"/>
    <w:tmpl w:val="B51EB7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CE2083B"/>
    <w:multiLevelType w:val="hybridMultilevel"/>
    <w:tmpl w:val="C956A208"/>
    <w:lvl w:ilvl="0" w:tplc="BE2E7E04">
      <w:start w:val="1"/>
      <w:numFmt w:val="bullet"/>
      <w:lvlText w:val=""/>
      <w:lvlJc w:val="left"/>
      <w:pPr>
        <w:tabs>
          <w:tab w:val="num" w:pos="720"/>
        </w:tabs>
        <w:ind w:left="720" w:hanging="360"/>
      </w:pPr>
      <w:rPr>
        <w:rFonts w:ascii="Wingdings 2" w:hAnsi="Wingdings 2" w:hint="default"/>
      </w:rPr>
    </w:lvl>
    <w:lvl w:ilvl="1" w:tplc="D6AE7C32" w:tentative="1">
      <w:start w:val="1"/>
      <w:numFmt w:val="bullet"/>
      <w:lvlText w:val=""/>
      <w:lvlJc w:val="left"/>
      <w:pPr>
        <w:tabs>
          <w:tab w:val="num" w:pos="1440"/>
        </w:tabs>
        <w:ind w:left="1440" w:hanging="360"/>
      </w:pPr>
      <w:rPr>
        <w:rFonts w:ascii="Wingdings 2" w:hAnsi="Wingdings 2" w:hint="default"/>
      </w:rPr>
    </w:lvl>
    <w:lvl w:ilvl="2" w:tplc="1D36E2B6" w:tentative="1">
      <w:start w:val="1"/>
      <w:numFmt w:val="bullet"/>
      <w:lvlText w:val=""/>
      <w:lvlJc w:val="left"/>
      <w:pPr>
        <w:tabs>
          <w:tab w:val="num" w:pos="2160"/>
        </w:tabs>
        <w:ind w:left="2160" w:hanging="360"/>
      </w:pPr>
      <w:rPr>
        <w:rFonts w:ascii="Wingdings 2" w:hAnsi="Wingdings 2" w:hint="default"/>
      </w:rPr>
    </w:lvl>
    <w:lvl w:ilvl="3" w:tplc="DD50C7C8" w:tentative="1">
      <w:start w:val="1"/>
      <w:numFmt w:val="bullet"/>
      <w:lvlText w:val=""/>
      <w:lvlJc w:val="left"/>
      <w:pPr>
        <w:tabs>
          <w:tab w:val="num" w:pos="2880"/>
        </w:tabs>
        <w:ind w:left="2880" w:hanging="360"/>
      </w:pPr>
      <w:rPr>
        <w:rFonts w:ascii="Wingdings 2" w:hAnsi="Wingdings 2" w:hint="default"/>
      </w:rPr>
    </w:lvl>
    <w:lvl w:ilvl="4" w:tplc="BB52CD36" w:tentative="1">
      <w:start w:val="1"/>
      <w:numFmt w:val="bullet"/>
      <w:lvlText w:val=""/>
      <w:lvlJc w:val="left"/>
      <w:pPr>
        <w:tabs>
          <w:tab w:val="num" w:pos="3600"/>
        </w:tabs>
        <w:ind w:left="3600" w:hanging="360"/>
      </w:pPr>
      <w:rPr>
        <w:rFonts w:ascii="Wingdings 2" w:hAnsi="Wingdings 2" w:hint="default"/>
      </w:rPr>
    </w:lvl>
    <w:lvl w:ilvl="5" w:tplc="3510F502" w:tentative="1">
      <w:start w:val="1"/>
      <w:numFmt w:val="bullet"/>
      <w:lvlText w:val=""/>
      <w:lvlJc w:val="left"/>
      <w:pPr>
        <w:tabs>
          <w:tab w:val="num" w:pos="4320"/>
        </w:tabs>
        <w:ind w:left="4320" w:hanging="360"/>
      </w:pPr>
      <w:rPr>
        <w:rFonts w:ascii="Wingdings 2" w:hAnsi="Wingdings 2" w:hint="default"/>
      </w:rPr>
    </w:lvl>
    <w:lvl w:ilvl="6" w:tplc="EC62FB2A" w:tentative="1">
      <w:start w:val="1"/>
      <w:numFmt w:val="bullet"/>
      <w:lvlText w:val=""/>
      <w:lvlJc w:val="left"/>
      <w:pPr>
        <w:tabs>
          <w:tab w:val="num" w:pos="5040"/>
        </w:tabs>
        <w:ind w:left="5040" w:hanging="360"/>
      </w:pPr>
      <w:rPr>
        <w:rFonts w:ascii="Wingdings 2" w:hAnsi="Wingdings 2" w:hint="default"/>
      </w:rPr>
    </w:lvl>
    <w:lvl w:ilvl="7" w:tplc="2B829AC6" w:tentative="1">
      <w:start w:val="1"/>
      <w:numFmt w:val="bullet"/>
      <w:lvlText w:val=""/>
      <w:lvlJc w:val="left"/>
      <w:pPr>
        <w:tabs>
          <w:tab w:val="num" w:pos="5760"/>
        </w:tabs>
        <w:ind w:left="5760" w:hanging="360"/>
      </w:pPr>
      <w:rPr>
        <w:rFonts w:ascii="Wingdings 2" w:hAnsi="Wingdings 2" w:hint="default"/>
      </w:rPr>
    </w:lvl>
    <w:lvl w:ilvl="8" w:tplc="26722CA8" w:tentative="1">
      <w:start w:val="1"/>
      <w:numFmt w:val="bullet"/>
      <w:lvlText w:val=""/>
      <w:lvlJc w:val="left"/>
      <w:pPr>
        <w:tabs>
          <w:tab w:val="num" w:pos="6480"/>
        </w:tabs>
        <w:ind w:left="6480" w:hanging="360"/>
      </w:pPr>
      <w:rPr>
        <w:rFonts w:ascii="Wingdings 2" w:hAnsi="Wingdings 2" w:hint="default"/>
      </w:rPr>
    </w:lvl>
  </w:abstractNum>
  <w:abstractNum w:abstractNumId="2">
    <w:nsid w:val="7C021F1B"/>
    <w:multiLevelType w:val="hybridMultilevel"/>
    <w:tmpl w:val="EA102D66"/>
    <w:lvl w:ilvl="0" w:tplc="27D21804">
      <w:start w:val="1"/>
      <w:numFmt w:val="bullet"/>
      <w:lvlText w:val=""/>
      <w:lvlJc w:val="left"/>
      <w:pPr>
        <w:tabs>
          <w:tab w:val="num" w:pos="720"/>
        </w:tabs>
        <w:ind w:left="720" w:hanging="360"/>
      </w:pPr>
      <w:rPr>
        <w:rFonts w:ascii="Wingdings 2" w:hAnsi="Wingdings 2" w:hint="default"/>
      </w:rPr>
    </w:lvl>
    <w:lvl w:ilvl="1" w:tplc="BF8A8C46" w:tentative="1">
      <w:start w:val="1"/>
      <w:numFmt w:val="bullet"/>
      <w:lvlText w:val=""/>
      <w:lvlJc w:val="left"/>
      <w:pPr>
        <w:tabs>
          <w:tab w:val="num" w:pos="1440"/>
        </w:tabs>
        <w:ind w:left="1440" w:hanging="360"/>
      </w:pPr>
      <w:rPr>
        <w:rFonts w:ascii="Wingdings 2" w:hAnsi="Wingdings 2" w:hint="default"/>
      </w:rPr>
    </w:lvl>
    <w:lvl w:ilvl="2" w:tplc="CEFE8AD0" w:tentative="1">
      <w:start w:val="1"/>
      <w:numFmt w:val="bullet"/>
      <w:lvlText w:val=""/>
      <w:lvlJc w:val="left"/>
      <w:pPr>
        <w:tabs>
          <w:tab w:val="num" w:pos="2160"/>
        </w:tabs>
        <w:ind w:left="2160" w:hanging="360"/>
      </w:pPr>
      <w:rPr>
        <w:rFonts w:ascii="Wingdings 2" w:hAnsi="Wingdings 2" w:hint="default"/>
      </w:rPr>
    </w:lvl>
    <w:lvl w:ilvl="3" w:tplc="C64A8D02" w:tentative="1">
      <w:start w:val="1"/>
      <w:numFmt w:val="bullet"/>
      <w:lvlText w:val=""/>
      <w:lvlJc w:val="left"/>
      <w:pPr>
        <w:tabs>
          <w:tab w:val="num" w:pos="2880"/>
        </w:tabs>
        <w:ind w:left="2880" w:hanging="360"/>
      </w:pPr>
      <w:rPr>
        <w:rFonts w:ascii="Wingdings 2" w:hAnsi="Wingdings 2" w:hint="default"/>
      </w:rPr>
    </w:lvl>
    <w:lvl w:ilvl="4" w:tplc="1A28D7CE" w:tentative="1">
      <w:start w:val="1"/>
      <w:numFmt w:val="bullet"/>
      <w:lvlText w:val=""/>
      <w:lvlJc w:val="left"/>
      <w:pPr>
        <w:tabs>
          <w:tab w:val="num" w:pos="3600"/>
        </w:tabs>
        <w:ind w:left="3600" w:hanging="360"/>
      </w:pPr>
      <w:rPr>
        <w:rFonts w:ascii="Wingdings 2" w:hAnsi="Wingdings 2" w:hint="default"/>
      </w:rPr>
    </w:lvl>
    <w:lvl w:ilvl="5" w:tplc="96ACC83C" w:tentative="1">
      <w:start w:val="1"/>
      <w:numFmt w:val="bullet"/>
      <w:lvlText w:val=""/>
      <w:lvlJc w:val="left"/>
      <w:pPr>
        <w:tabs>
          <w:tab w:val="num" w:pos="4320"/>
        </w:tabs>
        <w:ind w:left="4320" w:hanging="360"/>
      </w:pPr>
      <w:rPr>
        <w:rFonts w:ascii="Wingdings 2" w:hAnsi="Wingdings 2" w:hint="default"/>
      </w:rPr>
    </w:lvl>
    <w:lvl w:ilvl="6" w:tplc="3DF07BE0" w:tentative="1">
      <w:start w:val="1"/>
      <w:numFmt w:val="bullet"/>
      <w:lvlText w:val=""/>
      <w:lvlJc w:val="left"/>
      <w:pPr>
        <w:tabs>
          <w:tab w:val="num" w:pos="5040"/>
        </w:tabs>
        <w:ind w:left="5040" w:hanging="360"/>
      </w:pPr>
      <w:rPr>
        <w:rFonts w:ascii="Wingdings 2" w:hAnsi="Wingdings 2" w:hint="default"/>
      </w:rPr>
    </w:lvl>
    <w:lvl w:ilvl="7" w:tplc="A6941316" w:tentative="1">
      <w:start w:val="1"/>
      <w:numFmt w:val="bullet"/>
      <w:lvlText w:val=""/>
      <w:lvlJc w:val="left"/>
      <w:pPr>
        <w:tabs>
          <w:tab w:val="num" w:pos="5760"/>
        </w:tabs>
        <w:ind w:left="5760" w:hanging="360"/>
      </w:pPr>
      <w:rPr>
        <w:rFonts w:ascii="Wingdings 2" w:hAnsi="Wingdings 2" w:hint="default"/>
      </w:rPr>
    </w:lvl>
    <w:lvl w:ilvl="8" w:tplc="96F021E0" w:tentative="1">
      <w:start w:val="1"/>
      <w:numFmt w:val="bullet"/>
      <w:lvlText w:val=""/>
      <w:lvlJc w:val="left"/>
      <w:pPr>
        <w:tabs>
          <w:tab w:val="num" w:pos="6480"/>
        </w:tabs>
        <w:ind w:left="6480" w:hanging="360"/>
      </w:pPr>
      <w:rPr>
        <w:rFonts w:ascii="Wingdings 2" w:hAnsi="Wingdings 2"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6"/>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8C3"/>
    <w:rsid w:val="000328C3"/>
    <w:rsid w:val="000B7E03"/>
    <w:rsid w:val="000D1BA1"/>
    <w:rsid w:val="000F064E"/>
    <w:rsid w:val="001D7085"/>
    <w:rsid w:val="00291268"/>
    <w:rsid w:val="003122FF"/>
    <w:rsid w:val="00323401"/>
    <w:rsid w:val="003D4835"/>
    <w:rsid w:val="0041045A"/>
    <w:rsid w:val="00420CF3"/>
    <w:rsid w:val="004378D5"/>
    <w:rsid w:val="004C6000"/>
    <w:rsid w:val="004D367C"/>
    <w:rsid w:val="00557821"/>
    <w:rsid w:val="006651FA"/>
    <w:rsid w:val="00702F9A"/>
    <w:rsid w:val="00827228"/>
    <w:rsid w:val="00950860"/>
    <w:rsid w:val="00962619"/>
    <w:rsid w:val="009C4311"/>
    <w:rsid w:val="009E2298"/>
    <w:rsid w:val="00AB621C"/>
    <w:rsid w:val="00AF4EE7"/>
    <w:rsid w:val="00B6328A"/>
    <w:rsid w:val="00BC3F03"/>
    <w:rsid w:val="00BD44B2"/>
    <w:rsid w:val="00C70BFF"/>
    <w:rsid w:val="00CC37D8"/>
    <w:rsid w:val="00CF11C6"/>
    <w:rsid w:val="00D471F1"/>
    <w:rsid w:val="00E240A5"/>
    <w:rsid w:val="00EA0DBB"/>
    <w:rsid w:val="00EA1073"/>
    <w:rsid w:val="00F357F8"/>
    <w:rsid w:val="00F54ED8"/>
    <w:rsid w:val="00FB7234"/>
    <w:rsid w:val="00FE0C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EC6543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328C3"/>
    <w:pPr>
      <w:spacing w:before="100" w:beforeAutospacing="1" w:after="100" w:afterAutospacing="1"/>
    </w:pPr>
    <w:rPr>
      <w:rFonts w:ascii="Times New Roman" w:hAnsi="Times New Roman" w:cs="Times New Roman"/>
      <w:sz w:val="20"/>
      <w:szCs w:val="20"/>
      <w:lang w:val="en-AU"/>
    </w:rPr>
  </w:style>
  <w:style w:type="character" w:styleId="Strong">
    <w:name w:val="Strong"/>
    <w:basedOn w:val="DefaultParagraphFont"/>
    <w:uiPriority w:val="22"/>
    <w:qFormat/>
    <w:rsid w:val="000328C3"/>
    <w:rPr>
      <w:b/>
      <w:bCs/>
    </w:rPr>
  </w:style>
  <w:style w:type="paragraph" w:styleId="ListParagraph">
    <w:name w:val="List Paragraph"/>
    <w:basedOn w:val="Normal"/>
    <w:uiPriority w:val="34"/>
    <w:qFormat/>
    <w:rsid w:val="000328C3"/>
    <w:pPr>
      <w:ind w:left="720"/>
      <w:contextualSpacing/>
    </w:pPr>
  </w:style>
  <w:style w:type="character" w:customStyle="1" w:styleId="ref-journal">
    <w:name w:val="ref-journal"/>
    <w:basedOn w:val="DefaultParagraphFont"/>
    <w:rsid w:val="00BC3F03"/>
  </w:style>
  <w:style w:type="character" w:customStyle="1" w:styleId="ref-vol">
    <w:name w:val="ref-vol"/>
    <w:basedOn w:val="DefaultParagraphFont"/>
    <w:rsid w:val="00BC3F03"/>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328C3"/>
    <w:pPr>
      <w:spacing w:before="100" w:beforeAutospacing="1" w:after="100" w:afterAutospacing="1"/>
    </w:pPr>
    <w:rPr>
      <w:rFonts w:ascii="Times New Roman" w:hAnsi="Times New Roman" w:cs="Times New Roman"/>
      <w:sz w:val="20"/>
      <w:szCs w:val="20"/>
      <w:lang w:val="en-AU"/>
    </w:rPr>
  </w:style>
  <w:style w:type="character" w:styleId="Strong">
    <w:name w:val="Strong"/>
    <w:basedOn w:val="DefaultParagraphFont"/>
    <w:uiPriority w:val="22"/>
    <w:qFormat/>
    <w:rsid w:val="000328C3"/>
    <w:rPr>
      <w:b/>
      <w:bCs/>
    </w:rPr>
  </w:style>
  <w:style w:type="paragraph" w:styleId="ListParagraph">
    <w:name w:val="List Paragraph"/>
    <w:basedOn w:val="Normal"/>
    <w:uiPriority w:val="34"/>
    <w:qFormat/>
    <w:rsid w:val="000328C3"/>
    <w:pPr>
      <w:ind w:left="720"/>
      <w:contextualSpacing/>
    </w:pPr>
  </w:style>
  <w:style w:type="character" w:customStyle="1" w:styleId="ref-journal">
    <w:name w:val="ref-journal"/>
    <w:basedOn w:val="DefaultParagraphFont"/>
    <w:rsid w:val="00BC3F03"/>
  </w:style>
  <w:style w:type="character" w:customStyle="1" w:styleId="ref-vol">
    <w:name w:val="ref-vol"/>
    <w:basedOn w:val="DefaultParagraphFont"/>
    <w:rsid w:val="00BC3F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468684">
      <w:bodyDiv w:val="1"/>
      <w:marLeft w:val="0"/>
      <w:marRight w:val="0"/>
      <w:marTop w:val="0"/>
      <w:marBottom w:val="0"/>
      <w:divBdr>
        <w:top w:val="none" w:sz="0" w:space="0" w:color="auto"/>
        <w:left w:val="none" w:sz="0" w:space="0" w:color="auto"/>
        <w:bottom w:val="none" w:sz="0" w:space="0" w:color="auto"/>
        <w:right w:val="none" w:sz="0" w:space="0" w:color="auto"/>
      </w:divBdr>
    </w:div>
    <w:div w:id="128865222">
      <w:bodyDiv w:val="1"/>
      <w:marLeft w:val="0"/>
      <w:marRight w:val="0"/>
      <w:marTop w:val="0"/>
      <w:marBottom w:val="0"/>
      <w:divBdr>
        <w:top w:val="none" w:sz="0" w:space="0" w:color="auto"/>
        <w:left w:val="none" w:sz="0" w:space="0" w:color="auto"/>
        <w:bottom w:val="none" w:sz="0" w:space="0" w:color="auto"/>
        <w:right w:val="none" w:sz="0" w:space="0" w:color="auto"/>
      </w:divBdr>
    </w:div>
    <w:div w:id="154689638">
      <w:bodyDiv w:val="1"/>
      <w:marLeft w:val="0"/>
      <w:marRight w:val="0"/>
      <w:marTop w:val="0"/>
      <w:marBottom w:val="0"/>
      <w:divBdr>
        <w:top w:val="none" w:sz="0" w:space="0" w:color="auto"/>
        <w:left w:val="none" w:sz="0" w:space="0" w:color="auto"/>
        <w:bottom w:val="none" w:sz="0" w:space="0" w:color="auto"/>
        <w:right w:val="none" w:sz="0" w:space="0" w:color="auto"/>
      </w:divBdr>
      <w:divsChild>
        <w:div w:id="2108695125">
          <w:marLeft w:val="0"/>
          <w:marRight w:val="0"/>
          <w:marTop w:val="120"/>
          <w:marBottom w:val="0"/>
          <w:divBdr>
            <w:top w:val="none" w:sz="0" w:space="0" w:color="auto"/>
            <w:left w:val="none" w:sz="0" w:space="0" w:color="auto"/>
            <w:bottom w:val="none" w:sz="0" w:space="0" w:color="auto"/>
            <w:right w:val="none" w:sz="0" w:space="0" w:color="auto"/>
          </w:divBdr>
        </w:div>
        <w:div w:id="383136345">
          <w:marLeft w:val="0"/>
          <w:marRight w:val="0"/>
          <w:marTop w:val="120"/>
          <w:marBottom w:val="0"/>
          <w:divBdr>
            <w:top w:val="none" w:sz="0" w:space="0" w:color="auto"/>
            <w:left w:val="none" w:sz="0" w:space="0" w:color="auto"/>
            <w:bottom w:val="none" w:sz="0" w:space="0" w:color="auto"/>
            <w:right w:val="none" w:sz="0" w:space="0" w:color="auto"/>
          </w:divBdr>
        </w:div>
      </w:divsChild>
    </w:div>
    <w:div w:id="262421358">
      <w:bodyDiv w:val="1"/>
      <w:marLeft w:val="0"/>
      <w:marRight w:val="0"/>
      <w:marTop w:val="0"/>
      <w:marBottom w:val="0"/>
      <w:divBdr>
        <w:top w:val="none" w:sz="0" w:space="0" w:color="auto"/>
        <w:left w:val="none" w:sz="0" w:space="0" w:color="auto"/>
        <w:bottom w:val="none" w:sz="0" w:space="0" w:color="auto"/>
        <w:right w:val="none" w:sz="0" w:space="0" w:color="auto"/>
      </w:divBdr>
    </w:div>
    <w:div w:id="397360674">
      <w:bodyDiv w:val="1"/>
      <w:marLeft w:val="0"/>
      <w:marRight w:val="0"/>
      <w:marTop w:val="0"/>
      <w:marBottom w:val="0"/>
      <w:divBdr>
        <w:top w:val="none" w:sz="0" w:space="0" w:color="auto"/>
        <w:left w:val="none" w:sz="0" w:space="0" w:color="auto"/>
        <w:bottom w:val="none" w:sz="0" w:space="0" w:color="auto"/>
        <w:right w:val="none" w:sz="0" w:space="0" w:color="auto"/>
      </w:divBdr>
    </w:div>
    <w:div w:id="473914603">
      <w:bodyDiv w:val="1"/>
      <w:marLeft w:val="0"/>
      <w:marRight w:val="0"/>
      <w:marTop w:val="0"/>
      <w:marBottom w:val="0"/>
      <w:divBdr>
        <w:top w:val="none" w:sz="0" w:space="0" w:color="auto"/>
        <w:left w:val="none" w:sz="0" w:space="0" w:color="auto"/>
        <w:bottom w:val="none" w:sz="0" w:space="0" w:color="auto"/>
        <w:right w:val="none" w:sz="0" w:space="0" w:color="auto"/>
      </w:divBdr>
    </w:div>
    <w:div w:id="652294413">
      <w:bodyDiv w:val="1"/>
      <w:marLeft w:val="0"/>
      <w:marRight w:val="0"/>
      <w:marTop w:val="0"/>
      <w:marBottom w:val="0"/>
      <w:divBdr>
        <w:top w:val="none" w:sz="0" w:space="0" w:color="auto"/>
        <w:left w:val="none" w:sz="0" w:space="0" w:color="auto"/>
        <w:bottom w:val="none" w:sz="0" w:space="0" w:color="auto"/>
        <w:right w:val="none" w:sz="0" w:space="0" w:color="auto"/>
      </w:divBdr>
    </w:div>
    <w:div w:id="666370123">
      <w:bodyDiv w:val="1"/>
      <w:marLeft w:val="0"/>
      <w:marRight w:val="0"/>
      <w:marTop w:val="0"/>
      <w:marBottom w:val="0"/>
      <w:divBdr>
        <w:top w:val="none" w:sz="0" w:space="0" w:color="auto"/>
        <w:left w:val="none" w:sz="0" w:space="0" w:color="auto"/>
        <w:bottom w:val="none" w:sz="0" w:space="0" w:color="auto"/>
        <w:right w:val="none" w:sz="0" w:space="0" w:color="auto"/>
      </w:divBdr>
    </w:div>
    <w:div w:id="858198606">
      <w:bodyDiv w:val="1"/>
      <w:marLeft w:val="0"/>
      <w:marRight w:val="0"/>
      <w:marTop w:val="0"/>
      <w:marBottom w:val="0"/>
      <w:divBdr>
        <w:top w:val="none" w:sz="0" w:space="0" w:color="auto"/>
        <w:left w:val="none" w:sz="0" w:space="0" w:color="auto"/>
        <w:bottom w:val="none" w:sz="0" w:space="0" w:color="auto"/>
        <w:right w:val="none" w:sz="0" w:space="0" w:color="auto"/>
      </w:divBdr>
    </w:div>
    <w:div w:id="949580185">
      <w:bodyDiv w:val="1"/>
      <w:marLeft w:val="0"/>
      <w:marRight w:val="0"/>
      <w:marTop w:val="0"/>
      <w:marBottom w:val="0"/>
      <w:divBdr>
        <w:top w:val="none" w:sz="0" w:space="0" w:color="auto"/>
        <w:left w:val="none" w:sz="0" w:space="0" w:color="auto"/>
        <w:bottom w:val="none" w:sz="0" w:space="0" w:color="auto"/>
        <w:right w:val="none" w:sz="0" w:space="0" w:color="auto"/>
      </w:divBdr>
      <w:divsChild>
        <w:div w:id="1886482832">
          <w:marLeft w:val="0"/>
          <w:marRight w:val="0"/>
          <w:marTop w:val="120"/>
          <w:marBottom w:val="0"/>
          <w:divBdr>
            <w:top w:val="none" w:sz="0" w:space="0" w:color="auto"/>
            <w:left w:val="none" w:sz="0" w:space="0" w:color="auto"/>
            <w:bottom w:val="none" w:sz="0" w:space="0" w:color="auto"/>
            <w:right w:val="none" w:sz="0" w:space="0" w:color="auto"/>
          </w:divBdr>
        </w:div>
        <w:div w:id="1403912373">
          <w:marLeft w:val="0"/>
          <w:marRight w:val="0"/>
          <w:marTop w:val="120"/>
          <w:marBottom w:val="0"/>
          <w:divBdr>
            <w:top w:val="none" w:sz="0" w:space="0" w:color="auto"/>
            <w:left w:val="none" w:sz="0" w:space="0" w:color="auto"/>
            <w:bottom w:val="none" w:sz="0" w:space="0" w:color="auto"/>
            <w:right w:val="none" w:sz="0" w:space="0" w:color="auto"/>
          </w:divBdr>
        </w:div>
      </w:divsChild>
    </w:div>
    <w:div w:id="1059866938">
      <w:bodyDiv w:val="1"/>
      <w:marLeft w:val="0"/>
      <w:marRight w:val="0"/>
      <w:marTop w:val="0"/>
      <w:marBottom w:val="0"/>
      <w:divBdr>
        <w:top w:val="none" w:sz="0" w:space="0" w:color="auto"/>
        <w:left w:val="none" w:sz="0" w:space="0" w:color="auto"/>
        <w:bottom w:val="none" w:sz="0" w:space="0" w:color="auto"/>
        <w:right w:val="none" w:sz="0" w:space="0" w:color="auto"/>
      </w:divBdr>
    </w:div>
    <w:div w:id="1148786989">
      <w:bodyDiv w:val="1"/>
      <w:marLeft w:val="0"/>
      <w:marRight w:val="0"/>
      <w:marTop w:val="0"/>
      <w:marBottom w:val="0"/>
      <w:divBdr>
        <w:top w:val="none" w:sz="0" w:space="0" w:color="auto"/>
        <w:left w:val="none" w:sz="0" w:space="0" w:color="auto"/>
        <w:bottom w:val="none" w:sz="0" w:space="0" w:color="auto"/>
        <w:right w:val="none" w:sz="0" w:space="0" w:color="auto"/>
      </w:divBdr>
      <w:divsChild>
        <w:div w:id="958146284">
          <w:marLeft w:val="720"/>
          <w:marRight w:val="0"/>
          <w:marTop w:val="0"/>
          <w:marBottom w:val="400"/>
          <w:divBdr>
            <w:top w:val="none" w:sz="0" w:space="0" w:color="auto"/>
            <w:left w:val="none" w:sz="0" w:space="0" w:color="auto"/>
            <w:bottom w:val="none" w:sz="0" w:space="0" w:color="auto"/>
            <w:right w:val="none" w:sz="0" w:space="0" w:color="auto"/>
          </w:divBdr>
        </w:div>
      </w:divsChild>
    </w:div>
    <w:div w:id="1236933078">
      <w:bodyDiv w:val="1"/>
      <w:marLeft w:val="0"/>
      <w:marRight w:val="0"/>
      <w:marTop w:val="0"/>
      <w:marBottom w:val="0"/>
      <w:divBdr>
        <w:top w:val="none" w:sz="0" w:space="0" w:color="auto"/>
        <w:left w:val="none" w:sz="0" w:space="0" w:color="auto"/>
        <w:bottom w:val="none" w:sz="0" w:space="0" w:color="auto"/>
        <w:right w:val="none" w:sz="0" w:space="0" w:color="auto"/>
      </w:divBdr>
    </w:div>
    <w:div w:id="1305429597">
      <w:bodyDiv w:val="1"/>
      <w:marLeft w:val="0"/>
      <w:marRight w:val="0"/>
      <w:marTop w:val="0"/>
      <w:marBottom w:val="0"/>
      <w:divBdr>
        <w:top w:val="none" w:sz="0" w:space="0" w:color="auto"/>
        <w:left w:val="none" w:sz="0" w:space="0" w:color="auto"/>
        <w:bottom w:val="none" w:sz="0" w:space="0" w:color="auto"/>
        <w:right w:val="none" w:sz="0" w:space="0" w:color="auto"/>
      </w:divBdr>
    </w:div>
    <w:div w:id="1412308279">
      <w:bodyDiv w:val="1"/>
      <w:marLeft w:val="0"/>
      <w:marRight w:val="0"/>
      <w:marTop w:val="0"/>
      <w:marBottom w:val="0"/>
      <w:divBdr>
        <w:top w:val="none" w:sz="0" w:space="0" w:color="auto"/>
        <w:left w:val="none" w:sz="0" w:space="0" w:color="auto"/>
        <w:bottom w:val="none" w:sz="0" w:space="0" w:color="auto"/>
        <w:right w:val="none" w:sz="0" w:space="0" w:color="auto"/>
      </w:divBdr>
      <w:divsChild>
        <w:div w:id="85659225">
          <w:marLeft w:val="720"/>
          <w:marRight w:val="0"/>
          <w:marTop w:val="0"/>
          <w:marBottom w:val="400"/>
          <w:divBdr>
            <w:top w:val="none" w:sz="0" w:space="0" w:color="auto"/>
            <w:left w:val="none" w:sz="0" w:space="0" w:color="auto"/>
            <w:bottom w:val="none" w:sz="0" w:space="0" w:color="auto"/>
            <w:right w:val="none" w:sz="0" w:space="0" w:color="auto"/>
          </w:divBdr>
        </w:div>
        <w:div w:id="970670747">
          <w:marLeft w:val="720"/>
          <w:marRight w:val="0"/>
          <w:marTop w:val="0"/>
          <w:marBottom w:val="400"/>
          <w:divBdr>
            <w:top w:val="none" w:sz="0" w:space="0" w:color="auto"/>
            <w:left w:val="none" w:sz="0" w:space="0" w:color="auto"/>
            <w:bottom w:val="none" w:sz="0" w:space="0" w:color="auto"/>
            <w:right w:val="none" w:sz="0" w:space="0" w:color="auto"/>
          </w:divBdr>
        </w:div>
      </w:divsChild>
    </w:div>
    <w:div w:id="1566645539">
      <w:bodyDiv w:val="1"/>
      <w:marLeft w:val="0"/>
      <w:marRight w:val="0"/>
      <w:marTop w:val="0"/>
      <w:marBottom w:val="0"/>
      <w:divBdr>
        <w:top w:val="none" w:sz="0" w:space="0" w:color="auto"/>
        <w:left w:val="none" w:sz="0" w:space="0" w:color="auto"/>
        <w:bottom w:val="none" w:sz="0" w:space="0" w:color="auto"/>
        <w:right w:val="none" w:sz="0" w:space="0" w:color="auto"/>
      </w:divBdr>
      <w:divsChild>
        <w:div w:id="1590196365">
          <w:marLeft w:val="0"/>
          <w:marRight w:val="0"/>
          <w:marTop w:val="0"/>
          <w:marBottom w:val="0"/>
          <w:divBdr>
            <w:top w:val="none" w:sz="0" w:space="0" w:color="auto"/>
            <w:left w:val="none" w:sz="0" w:space="0" w:color="auto"/>
            <w:bottom w:val="none" w:sz="0" w:space="0" w:color="auto"/>
            <w:right w:val="none" w:sz="0" w:space="0" w:color="auto"/>
          </w:divBdr>
        </w:div>
        <w:div w:id="1437823003">
          <w:marLeft w:val="0"/>
          <w:marRight w:val="0"/>
          <w:marTop w:val="0"/>
          <w:marBottom w:val="0"/>
          <w:divBdr>
            <w:top w:val="none" w:sz="0" w:space="0" w:color="auto"/>
            <w:left w:val="none" w:sz="0" w:space="0" w:color="auto"/>
            <w:bottom w:val="none" w:sz="0" w:space="0" w:color="auto"/>
            <w:right w:val="none" w:sz="0" w:space="0" w:color="auto"/>
          </w:divBdr>
        </w:div>
        <w:div w:id="1707486653">
          <w:marLeft w:val="0"/>
          <w:marRight w:val="0"/>
          <w:marTop w:val="0"/>
          <w:marBottom w:val="0"/>
          <w:divBdr>
            <w:top w:val="none" w:sz="0" w:space="0" w:color="auto"/>
            <w:left w:val="none" w:sz="0" w:space="0" w:color="auto"/>
            <w:bottom w:val="none" w:sz="0" w:space="0" w:color="auto"/>
            <w:right w:val="none" w:sz="0" w:space="0" w:color="auto"/>
          </w:divBdr>
        </w:div>
        <w:div w:id="1005523585">
          <w:marLeft w:val="0"/>
          <w:marRight w:val="0"/>
          <w:marTop w:val="0"/>
          <w:marBottom w:val="0"/>
          <w:divBdr>
            <w:top w:val="none" w:sz="0" w:space="0" w:color="auto"/>
            <w:left w:val="none" w:sz="0" w:space="0" w:color="auto"/>
            <w:bottom w:val="none" w:sz="0" w:space="0" w:color="auto"/>
            <w:right w:val="none" w:sz="0" w:space="0" w:color="auto"/>
          </w:divBdr>
        </w:div>
      </w:divsChild>
    </w:div>
    <w:div w:id="1800830391">
      <w:bodyDiv w:val="1"/>
      <w:marLeft w:val="0"/>
      <w:marRight w:val="0"/>
      <w:marTop w:val="0"/>
      <w:marBottom w:val="0"/>
      <w:divBdr>
        <w:top w:val="none" w:sz="0" w:space="0" w:color="auto"/>
        <w:left w:val="none" w:sz="0" w:space="0" w:color="auto"/>
        <w:bottom w:val="none" w:sz="0" w:space="0" w:color="auto"/>
        <w:right w:val="none" w:sz="0" w:space="0" w:color="auto"/>
      </w:divBdr>
      <w:divsChild>
        <w:div w:id="1740592051">
          <w:marLeft w:val="0"/>
          <w:marRight w:val="0"/>
          <w:marTop w:val="120"/>
          <w:marBottom w:val="0"/>
          <w:divBdr>
            <w:top w:val="none" w:sz="0" w:space="0" w:color="auto"/>
            <w:left w:val="none" w:sz="0" w:space="0" w:color="auto"/>
            <w:bottom w:val="none" w:sz="0" w:space="0" w:color="auto"/>
            <w:right w:val="none" w:sz="0" w:space="0" w:color="auto"/>
          </w:divBdr>
        </w:div>
        <w:div w:id="171189573">
          <w:marLeft w:val="0"/>
          <w:marRight w:val="0"/>
          <w:marTop w:val="120"/>
          <w:marBottom w:val="0"/>
          <w:divBdr>
            <w:top w:val="none" w:sz="0" w:space="0" w:color="auto"/>
            <w:left w:val="none" w:sz="0" w:space="0" w:color="auto"/>
            <w:bottom w:val="none" w:sz="0" w:space="0" w:color="auto"/>
            <w:right w:val="none" w:sz="0" w:space="0" w:color="auto"/>
          </w:divBdr>
        </w:div>
      </w:divsChild>
    </w:div>
    <w:div w:id="1893344717">
      <w:bodyDiv w:val="1"/>
      <w:marLeft w:val="0"/>
      <w:marRight w:val="0"/>
      <w:marTop w:val="0"/>
      <w:marBottom w:val="0"/>
      <w:divBdr>
        <w:top w:val="none" w:sz="0" w:space="0" w:color="auto"/>
        <w:left w:val="none" w:sz="0" w:space="0" w:color="auto"/>
        <w:bottom w:val="none" w:sz="0" w:space="0" w:color="auto"/>
        <w:right w:val="none" w:sz="0" w:space="0" w:color="auto"/>
      </w:divBdr>
    </w:div>
    <w:div w:id="1914780840">
      <w:bodyDiv w:val="1"/>
      <w:marLeft w:val="0"/>
      <w:marRight w:val="0"/>
      <w:marTop w:val="0"/>
      <w:marBottom w:val="0"/>
      <w:divBdr>
        <w:top w:val="none" w:sz="0" w:space="0" w:color="auto"/>
        <w:left w:val="none" w:sz="0" w:space="0" w:color="auto"/>
        <w:bottom w:val="none" w:sz="0" w:space="0" w:color="auto"/>
        <w:right w:val="none" w:sz="0" w:space="0" w:color="auto"/>
      </w:divBdr>
    </w:div>
    <w:div w:id="2009793377">
      <w:bodyDiv w:val="1"/>
      <w:marLeft w:val="0"/>
      <w:marRight w:val="0"/>
      <w:marTop w:val="0"/>
      <w:marBottom w:val="0"/>
      <w:divBdr>
        <w:top w:val="none" w:sz="0" w:space="0" w:color="auto"/>
        <w:left w:val="none" w:sz="0" w:space="0" w:color="auto"/>
        <w:bottom w:val="none" w:sz="0" w:space="0" w:color="auto"/>
        <w:right w:val="none" w:sz="0" w:space="0" w:color="auto"/>
      </w:divBdr>
    </w:div>
    <w:div w:id="201950112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234</TotalTime>
  <Pages>3</Pages>
  <Words>1314</Words>
  <Characters>7495</Characters>
  <Application>Microsoft Macintosh Word</Application>
  <DocSecurity>0</DocSecurity>
  <Lines>62</Lines>
  <Paragraphs>17</Paragraphs>
  <ScaleCrop>false</ScaleCrop>
  <Company>Home</Company>
  <LinksUpToDate>false</LinksUpToDate>
  <CharactersWithSpaces>8792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Noor Fishan</dc:creator>
  <cp:keywords/>
  <dc:description/>
  <cp:lastModifiedBy>Noor Fishan</cp:lastModifiedBy>
  <cp:revision>13</cp:revision>
  <dcterms:created xsi:type="dcterms:W3CDTF">2019-09-15T01:14:00Z</dcterms:created>
  <dcterms:modified xsi:type="dcterms:W3CDTF">2019-09-19T10:43:00Z</dcterms:modified>
</cp:coreProperties>
</file>