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CC1" w:rsidRDefault="00C43CC1" w:rsidP="00C43CC1">
      <w:pPr>
        <w:pStyle w:val="NormalWeb"/>
      </w:pPr>
      <w:bookmarkStart w:id="0" w:name="OLE_LINK1"/>
      <w:bookmarkStart w:id="1" w:name="OLE_LINK2"/>
      <w:r>
        <w:t>2</w:t>
      </w:r>
      <w:proofErr w:type="spellStart"/>
      <w:r>
        <w:rPr>
          <w:position w:val="12"/>
          <w:sz w:val="16"/>
          <w:szCs w:val="16"/>
        </w:rPr>
        <w:t>nd</w:t>
      </w:r>
      <w:proofErr w:type="spellEnd"/>
      <w:r>
        <w:rPr>
          <w:position w:val="12"/>
          <w:sz w:val="16"/>
          <w:szCs w:val="16"/>
        </w:rPr>
        <w:t xml:space="preserve"> </w:t>
      </w:r>
      <w:r>
        <w:t xml:space="preserve">International Conference on Diabetes, Endocrinology and Metabolism March 7-8, 2019 Amsterdam, Netherlands </w:t>
      </w:r>
    </w:p>
    <w:p w:rsidR="00C43CC1" w:rsidRDefault="00C43CC1" w:rsidP="00C43CC1">
      <w:pPr>
        <w:jc w:val="center"/>
        <w:rPr>
          <w:rFonts w:asciiTheme="majorBidi" w:hAnsiTheme="majorBidi" w:cstheme="majorBidi"/>
          <w:b/>
          <w:bCs/>
          <w:sz w:val="32"/>
          <w:szCs w:val="32"/>
          <w:lang w:val="en-US"/>
        </w:rPr>
      </w:pPr>
    </w:p>
    <w:p w:rsidR="00C37E78" w:rsidRDefault="00C43CC1" w:rsidP="00C43CC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43CC1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Modulation of </w:t>
      </w:r>
      <w:r w:rsidR="007D2B2E">
        <w:rPr>
          <w:rFonts w:asciiTheme="majorBidi" w:hAnsiTheme="majorBidi" w:cstheme="majorBidi"/>
          <w:b/>
          <w:bCs/>
          <w:sz w:val="32"/>
          <w:szCs w:val="32"/>
        </w:rPr>
        <w:t>H</w:t>
      </w:r>
      <w:r w:rsidRPr="00C43CC1">
        <w:rPr>
          <w:rFonts w:asciiTheme="majorBidi" w:hAnsiTheme="majorBidi" w:cstheme="majorBidi"/>
          <w:b/>
          <w:bCs/>
          <w:sz w:val="32"/>
          <w:szCs w:val="32"/>
        </w:rPr>
        <w:t xml:space="preserve">epatic </w:t>
      </w:r>
      <w:r w:rsidR="007D2B2E">
        <w:rPr>
          <w:rFonts w:asciiTheme="majorBidi" w:hAnsiTheme="majorBidi" w:cstheme="majorBidi"/>
          <w:b/>
          <w:bCs/>
          <w:sz w:val="32"/>
          <w:szCs w:val="32"/>
        </w:rPr>
        <w:t>A</w:t>
      </w:r>
      <w:r w:rsidRPr="00C43CC1">
        <w:rPr>
          <w:rFonts w:asciiTheme="majorBidi" w:hAnsiTheme="majorBidi" w:cstheme="majorBidi"/>
          <w:b/>
          <w:bCs/>
          <w:sz w:val="32"/>
          <w:szCs w:val="32"/>
        </w:rPr>
        <w:t xml:space="preserve">utophagy </w:t>
      </w:r>
      <w:r w:rsidRPr="00C43CC1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for </w:t>
      </w:r>
      <w:r w:rsidR="007D2B2E">
        <w:rPr>
          <w:rFonts w:asciiTheme="majorBidi" w:hAnsiTheme="majorBidi" w:cstheme="majorBidi"/>
          <w:b/>
          <w:bCs/>
          <w:sz w:val="32"/>
          <w:szCs w:val="32"/>
          <w:lang w:val="en-US"/>
        </w:rPr>
        <w:t>T</w:t>
      </w:r>
      <w:r w:rsidRPr="00C43CC1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herapeutic </w:t>
      </w:r>
      <w:r w:rsidR="007D2B2E">
        <w:rPr>
          <w:rFonts w:asciiTheme="majorBidi" w:hAnsiTheme="majorBidi" w:cstheme="majorBidi"/>
          <w:b/>
          <w:bCs/>
          <w:sz w:val="32"/>
          <w:szCs w:val="32"/>
          <w:lang w:val="en-US"/>
        </w:rPr>
        <w:t>C</w:t>
      </w:r>
      <w:r w:rsidRPr="00C43CC1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orrection of </w:t>
      </w:r>
      <w:r w:rsidR="007D2B2E">
        <w:rPr>
          <w:rFonts w:asciiTheme="majorBidi" w:hAnsiTheme="majorBidi" w:cstheme="majorBidi"/>
          <w:b/>
          <w:bCs/>
          <w:sz w:val="32"/>
          <w:szCs w:val="32"/>
        </w:rPr>
        <w:t>T</w:t>
      </w:r>
      <w:r w:rsidRPr="00C43CC1">
        <w:rPr>
          <w:rFonts w:asciiTheme="majorBidi" w:hAnsiTheme="majorBidi" w:cstheme="majorBidi"/>
          <w:b/>
          <w:bCs/>
          <w:sz w:val="32"/>
          <w:szCs w:val="32"/>
        </w:rPr>
        <w:t xml:space="preserve">ype 2 </w:t>
      </w:r>
      <w:r w:rsidR="007D2B2E">
        <w:rPr>
          <w:rFonts w:asciiTheme="majorBidi" w:hAnsiTheme="majorBidi" w:cstheme="majorBidi"/>
          <w:b/>
          <w:bCs/>
          <w:sz w:val="32"/>
          <w:szCs w:val="32"/>
        </w:rPr>
        <w:t>D</w:t>
      </w:r>
      <w:r w:rsidRPr="00C43CC1">
        <w:rPr>
          <w:rFonts w:asciiTheme="majorBidi" w:hAnsiTheme="majorBidi" w:cstheme="majorBidi"/>
          <w:b/>
          <w:bCs/>
          <w:sz w:val="32"/>
          <w:szCs w:val="32"/>
        </w:rPr>
        <w:t>iabetes</w:t>
      </w:r>
    </w:p>
    <w:p w:rsidR="00C43CC1" w:rsidRPr="00767EC1" w:rsidRDefault="00C43CC1" w:rsidP="00767EC1">
      <w:pPr>
        <w:pStyle w:val="NormalWeb"/>
        <w:jc w:val="center"/>
        <w:rPr>
          <w:b/>
          <w:bCs/>
          <w:u w:val="single"/>
        </w:rPr>
      </w:pPr>
      <w:r w:rsidRPr="00767EC1">
        <w:rPr>
          <w:b/>
          <w:bCs/>
          <w:u w:val="single"/>
        </w:rPr>
        <w:t>Salma Aljahdali</w:t>
      </w:r>
    </w:p>
    <w:p w:rsidR="00C43CC1" w:rsidRPr="00C43CC1" w:rsidRDefault="00C43CC1" w:rsidP="00C43CC1">
      <w:pPr>
        <w:pStyle w:val="NormalWeb"/>
        <w:rPr>
          <w:rFonts w:ascii="Times" w:hAnsi="Times"/>
          <w:i/>
          <w:iCs/>
        </w:rPr>
      </w:pPr>
      <w:r w:rsidRPr="00C43CC1">
        <w:rPr>
          <w:rFonts w:ascii="Times" w:hAnsi="Times"/>
          <w:i/>
          <w:iCs/>
          <w:color w:val="000000"/>
        </w:rPr>
        <w:t xml:space="preserve">Trinity Biomedical Sciences Institute; Trinity College Dublin, </w:t>
      </w:r>
      <w:r w:rsidR="00F11BA4">
        <w:rPr>
          <w:rFonts w:ascii="Times" w:hAnsi="Times"/>
          <w:i/>
          <w:iCs/>
          <w:color w:val="000000"/>
        </w:rPr>
        <w:t>T</w:t>
      </w:r>
      <w:r w:rsidRPr="00C43CC1">
        <w:rPr>
          <w:rFonts w:ascii="Times" w:hAnsi="Times"/>
          <w:i/>
          <w:iCs/>
          <w:color w:val="000000"/>
        </w:rPr>
        <w:t>he University of Dublin</w:t>
      </w:r>
      <w:r w:rsidRPr="00C43CC1">
        <w:rPr>
          <w:rFonts w:ascii="Times" w:hAnsi="Times"/>
          <w:i/>
          <w:iCs/>
        </w:rPr>
        <w:t xml:space="preserve">: </w:t>
      </w:r>
      <w:r w:rsidRPr="00C43CC1">
        <w:rPr>
          <w:rFonts w:ascii="Times" w:hAnsi="Times"/>
          <w:i/>
          <w:iCs/>
          <w:color w:val="000000"/>
        </w:rPr>
        <w:t xml:space="preserve">152-160 </w:t>
      </w:r>
      <w:proofErr w:type="spellStart"/>
      <w:r w:rsidRPr="00C43CC1">
        <w:rPr>
          <w:rFonts w:ascii="Times" w:hAnsi="Times"/>
          <w:i/>
          <w:iCs/>
          <w:color w:val="000000"/>
        </w:rPr>
        <w:t>Pearse</w:t>
      </w:r>
      <w:proofErr w:type="spellEnd"/>
      <w:r w:rsidRPr="00C43CC1">
        <w:rPr>
          <w:rFonts w:ascii="Times" w:hAnsi="Times"/>
          <w:i/>
          <w:iCs/>
          <w:color w:val="000000"/>
        </w:rPr>
        <w:t xml:space="preserve"> Street </w:t>
      </w:r>
      <w:r w:rsidRPr="00C43CC1">
        <w:rPr>
          <w:rFonts w:ascii="Times" w:hAnsi="Times"/>
          <w:i/>
          <w:iCs/>
        </w:rPr>
        <w:t>/</w:t>
      </w:r>
      <w:r w:rsidRPr="00C43CC1">
        <w:rPr>
          <w:rFonts w:ascii="Times" w:hAnsi="Times"/>
          <w:i/>
          <w:iCs/>
          <w:color w:val="000000"/>
        </w:rPr>
        <w:t xml:space="preserve"> Dublin</w:t>
      </w:r>
      <w:r w:rsidR="00767EC1">
        <w:rPr>
          <w:rFonts w:ascii="Times" w:hAnsi="Times"/>
          <w:i/>
          <w:iCs/>
          <w:color w:val="000000"/>
        </w:rPr>
        <w:t xml:space="preserve"> 2</w:t>
      </w:r>
      <w:r w:rsidRPr="00C43CC1">
        <w:rPr>
          <w:rFonts w:ascii="Times" w:hAnsi="Times"/>
          <w:i/>
          <w:iCs/>
          <w:color w:val="000000"/>
        </w:rPr>
        <w:t xml:space="preserve"> </w:t>
      </w:r>
    </w:p>
    <w:p w:rsidR="00C37E78" w:rsidRPr="001F37B6" w:rsidRDefault="00C37E78" w:rsidP="002660CB">
      <w:pPr>
        <w:autoSpaceDE w:val="0"/>
        <w:autoSpaceDN w:val="0"/>
        <w:adjustRightInd w:val="0"/>
        <w:spacing w:after="240" w:line="360" w:lineRule="auto"/>
        <w:jc w:val="both"/>
        <w:rPr>
          <w:rFonts w:ascii="Times" w:hAnsi="Times" w:cs="Times"/>
          <w:color w:val="FF0000"/>
          <w:sz w:val="18"/>
          <w:szCs w:val="18"/>
          <w:lang w:val="en-IE"/>
        </w:rPr>
      </w:pPr>
    </w:p>
    <w:p w:rsidR="002660CB" w:rsidRPr="002660CB" w:rsidRDefault="00C37E78" w:rsidP="002660CB">
      <w:pPr>
        <w:pStyle w:val="NormalWeb"/>
        <w:spacing w:line="360" w:lineRule="auto"/>
        <w:jc w:val="both"/>
      </w:pPr>
      <w:bookmarkStart w:id="2" w:name="OLE_LINK5"/>
      <w:bookmarkStart w:id="3" w:name="OLE_LINK6"/>
      <w:bookmarkStart w:id="4" w:name="OLE_LINK7"/>
      <w:r w:rsidRPr="00F465D3">
        <w:rPr>
          <w:rFonts w:asciiTheme="majorBidi" w:hAnsiTheme="majorBidi" w:cstheme="majorBidi"/>
          <w:color w:val="000000"/>
        </w:rPr>
        <w:t xml:space="preserve">Glucagon is </w:t>
      </w:r>
      <w:r>
        <w:rPr>
          <w:rFonts w:asciiTheme="majorBidi" w:hAnsiTheme="majorBidi" w:cstheme="majorBidi"/>
          <w:color w:val="000000"/>
        </w:rPr>
        <w:t>produced</w:t>
      </w:r>
      <w:r w:rsidRPr="00F465D3">
        <w:rPr>
          <w:rFonts w:asciiTheme="majorBidi" w:hAnsiTheme="majorBidi" w:cstheme="majorBidi"/>
          <w:color w:val="000000"/>
        </w:rPr>
        <w:t xml:space="preserve"> from pancreatic </w:t>
      </w:r>
      <w:r w:rsidRPr="00F465D3">
        <w:rPr>
          <w:rFonts w:asciiTheme="majorBidi" w:hAnsiTheme="majorBidi" w:cstheme="majorBidi"/>
          <w:color w:val="000000"/>
        </w:rPr>
        <w:sym w:font="Symbol" w:char="F061"/>
      </w:r>
      <w:r w:rsidRPr="00F465D3">
        <w:rPr>
          <w:rFonts w:asciiTheme="majorBidi" w:hAnsiTheme="majorBidi" w:cstheme="majorBidi"/>
          <w:color w:val="000000"/>
        </w:rPr>
        <w:t xml:space="preserve"> cells </w:t>
      </w:r>
      <w:r>
        <w:rPr>
          <w:rFonts w:asciiTheme="majorBidi" w:hAnsiTheme="majorBidi" w:cstheme="majorBidi"/>
          <w:color w:val="000000"/>
        </w:rPr>
        <w:t>to</w:t>
      </w:r>
      <w:r w:rsidRPr="00F465D3">
        <w:rPr>
          <w:rFonts w:asciiTheme="majorBidi" w:hAnsiTheme="majorBidi" w:cstheme="majorBidi"/>
          <w:color w:val="000000"/>
        </w:rPr>
        <w:t xml:space="preserve"> control</w:t>
      </w:r>
      <w:r>
        <w:rPr>
          <w:rFonts w:asciiTheme="majorBidi" w:hAnsiTheme="majorBidi" w:cstheme="majorBidi"/>
          <w:color w:val="000000"/>
        </w:rPr>
        <w:t xml:space="preserve"> hepatic</w:t>
      </w:r>
      <w:r w:rsidRPr="00F465D3">
        <w:rPr>
          <w:rFonts w:asciiTheme="majorBidi" w:hAnsiTheme="majorBidi" w:cstheme="majorBidi"/>
          <w:color w:val="000000"/>
        </w:rPr>
        <w:t xml:space="preserve"> glucose </w:t>
      </w:r>
      <w:r>
        <w:rPr>
          <w:rFonts w:asciiTheme="majorBidi" w:hAnsiTheme="majorBidi" w:cstheme="majorBidi"/>
          <w:color w:val="000000"/>
        </w:rPr>
        <w:t xml:space="preserve">production and glucose </w:t>
      </w:r>
      <w:r w:rsidRPr="00F465D3">
        <w:rPr>
          <w:rFonts w:asciiTheme="majorBidi" w:hAnsiTheme="majorBidi" w:cstheme="majorBidi"/>
          <w:color w:val="000000"/>
        </w:rPr>
        <w:t>homeostasis</w:t>
      </w:r>
      <w:r>
        <w:rPr>
          <w:rFonts w:asciiTheme="majorBidi" w:hAnsiTheme="majorBidi" w:cstheme="majorBidi"/>
          <w:color w:val="000000"/>
        </w:rPr>
        <w:t>.</w:t>
      </w:r>
      <w:r w:rsidRPr="00F465D3">
        <w:rPr>
          <w:rFonts w:asciiTheme="majorBidi" w:hAnsiTheme="majorBidi" w:cstheme="majorBidi"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color w:val="000000"/>
        </w:rPr>
        <w:t>H</w:t>
      </w:r>
      <w:r w:rsidRPr="00F465D3">
        <w:rPr>
          <w:rFonts w:asciiTheme="majorBidi" w:hAnsiTheme="majorBidi" w:cstheme="majorBidi"/>
          <w:color w:val="000000"/>
        </w:rPr>
        <w:t>yperglycemia</w:t>
      </w:r>
      <w:proofErr w:type="spellEnd"/>
      <w:r w:rsidRPr="00F465D3">
        <w:rPr>
          <w:rFonts w:asciiTheme="majorBidi" w:hAnsiTheme="majorBidi" w:cstheme="majorBidi"/>
          <w:color w:val="000000"/>
        </w:rPr>
        <w:t xml:space="preserve"> is an early hallmark of </w:t>
      </w:r>
      <w:r>
        <w:rPr>
          <w:rFonts w:asciiTheme="majorBidi" w:hAnsiTheme="majorBidi" w:cstheme="majorBidi"/>
          <w:color w:val="000000"/>
        </w:rPr>
        <w:t>type 2 diabetes, and therefore hepatic glucose production can contribute to diabetic phenotype</w:t>
      </w:r>
      <w:r w:rsidRPr="00F465D3">
        <w:rPr>
          <w:rFonts w:asciiTheme="majorBidi" w:hAnsiTheme="majorBidi" w:cstheme="majorBidi"/>
          <w:color w:val="000000"/>
        </w:rPr>
        <w:t xml:space="preserve">. </w:t>
      </w:r>
      <w:r w:rsidRPr="00A25D57">
        <w:rPr>
          <w:rFonts w:asciiTheme="majorBidi" w:hAnsiTheme="majorBidi" w:cstheme="majorBidi"/>
          <w:color w:val="000000" w:themeColor="text1"/>
        </w:rPr>
        <w:t xml:space="preserve">Glucagon also activates hepatic autophagy, generating free amino acids, fatty acids and other small molecule metabolites. Autophagy can also liberate </w:t>
      </w:r>
      <w:proofErr w:type="spellStart"/>
      <w:r w:rsidRPr="00A25D57">
        <w:rPr>
          <w:rFonts w:asciiTheme="majorBidi" w:hAnsiTheme="majorBidi" w:cstheme="majorBidi"/>
          <w:color w:val="000000" w:themeColor="text1"/>
        </w:rPr>
        <w:t>glucogenic</w:t>
      </w:r>
      <w:proofErr w:type="spellEnd"/>
      <w:r w:rsidRPr="00A25D57">
        <w:rPr>
          <w:rFonts w:asciiTheme="majorBidi" w:hAnsiTheme="majorBidi" w:cstheme="majorBidi"/>
          <w:color w:val="000000" w:themeColor="text1"/>
        </w:rPr>
        <w:t xml:space="preserve"> amino acids that can be converted </w:t>
      </w:r>
      <w:r>
        <w:rPr>
          <w:rFonts w:asciiTheme="majorBidi" w:hAnsiTheme="majorBidi" w:cstheme="majorBidi"/>
          <w:color w:val="000000" w:themeColor="text1"/>
        </w:rPr>
        <w:t>to glucose via gluconeogenesis. The mechanisms of how glucagon-stimulated autophagy contributes to</w:t>
      </w:r>
      <w:r w:rsidRPr="00F465D3">
        <w:rPr>
          <w:rFonts w:asciiTheme="majorBidi" w:hAnsiTheme="majorBidi" w:cstheme="majorBidi"/>
          <w:color w:val="000000" w:themeColor="text1"/>
        </w:rPr>
        <w:t xml:space="preserve"> </w:t>
      </w:r>
      <w:bookmarkStart w:id="5" w:name="OLE_LINK3"/>
      <w:bookmarkStart w:id="6" w:name="OLE_LINK4"/>
      <w:r w:rsidRPr="00F465D3">
        <w:rPr>
          <w:rFonts w:asciiTheme="majorBidi" w:hAnsiTheme="majorBidi" w:cstheme="majorBidi"/>
          <w:color w:val="000000" w:themeColor="text1"/>
        </w:rPr>
        <w:t>gluconeogenesis</w:t>
      </w:r>
      <w:r>
        <w:rPr>
          <w:rFonts w:asciiTheme="majorBidi" w:hAnsiTheme="majorBidi" w:cstheme="majorBidi"/>
          <w:color w:val="000000" w:themeColor="text1"/>
        </w:rPr>
        <w:t xml:space="preserve"> </w:t>
      </w:r>
      <w:bookmarkEnd w:id="5"/>
      <w:bookmarkEnd w:id="6"/>
      <w:r>
        <w:rPr>
          <w:rFonts w:asciiTheme="majorBidi" w:hAnsiTheme="majorBidi" w:cstheme="majorBidi"/>
          <w:color w:val="000000" w:themeColor="text1"/>
        </w:rPr>
        <w:t>remain unclear</w:t>
      </w:r>
      <w:r w:rsidRPr="00F465D3">
        <w:rPr>
          <w:rFonts w:asciiTheme="majorBidi" w:hAnsiTheme="majorBidi" w:cstheme="majorBidi"/>
          <w:color w:val="000000" w:themeColor="text1"/>
        </w:rPr>
        <w:t xml:space="preserve">. </w:t>
      </w:r>
      <w:r w:rsidR="002660CB" w:rsidRPr="002660CB">
        <w:rPr>
          <w:rFonts w:ascii="TimesNewRomanPSMT" w:hAnsi="TimesNewRomanPSMT" w:cs="TimesNewRomanPSMT"/>
        </w:rPr>
        <w:t>This study has begun to investigate glucagon-dependent autophagy induction in hepatocytes and the specific signa</w:t>
      </w:r>
      <w:r w:rsidR="002C2E9A">
        <w:rPr>
          <w:rFonts w:ascii="TimesNewRomanPSMT" w:hAnsi="TimesNewRomanPSMT" w:cs="TimesNewRomanPSMT"/>
        </w:rPr>
        <w:t>l</w:t>
      </w:r>
      <w:r w:rsidR="002660CB" w:rsidRPr="002660CB">
        <w:rPr>
          <w:rFonts w:ascii="TimesNewRomanPSMT" w:hAnsi="TimesNewRomanPSMT" w:cs="TimesNewRomanPSMT"/>
        </w:rPr>
        <w:t xml:space="preserve">ling pathways involved. </w:t>
      </w:r>
    </w:p>
    <w:p w:rsidR="00F27AF8" w:rsidRDefault="0016439A" w:rsidP="002660CB">
      <w:pPr>
        <w:autoSpaceDE w:val="0"/>
        <w:autoSpaceDN w:val="0"/>
        <w:adjustRightInd w:val="0"/>
        <w:spacing w:after="240"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16439A">
        <w:rPr>
          <w:rFonts w:asciiTheme="majorBidi" w:hAnsiTheme="majorBidi" w:cstheme="majorBidi"/>
          <w:color w:val="000000" w:themeColor="text1"/>
        </w:rPr>
        <w:t>Glucagon-stimulated autophagy in HepG2 cells requires sufficient extracellular glucose to produce a robust conversion of LC3-I to LC3-II. High glucose levels (≈5.75 g/L), typical of normal growth culture conditions did not affect glucagon-mediated stimulation of autophagy, as determined by LC3-II production. Complete absence of glucose from the media also had no effect on glucagon-stimulated activation of autophagy</w:t>
      </w:r>
      <w:r>
        <w:rPr>
          <w:rFonts w:asciiTheme="majorBidi" w:hAnsiTheme="majorBidi" w:cstheme="majorBidi"/>
          <w:color w:val="000000" w:themeColor="text1"/>
        </w:rPr>
        <w:t xml:space="preserve">. </w:t>
      </w:r>
      <w:r w:rsidRPr="0016439A">
        <w:rPr>
          <w:rFonts w:asciiTheme="majorBidi" w:hAnsiTheme="majorBidi" w:cstheme="majorBidi"/>
          <w:color w:val="000000" w:themeColor="text1"/>
        </w:rPr>
        <w:t>Therefore, at least in a cellular model of liver autophagy the concentration of glucose (≈2.25 g/L) in culture media dictates the optimal glucagon-dependent autophagy response in hepatocytes</w:t>
      </w:r>
      <w:r w:rsidR="000D2FA0">
        <w:rPr>
          <w:rFonts w:asciiTheme="majorBidi" w:hAnsiTheme="majorBidi" w:cstheme="majorBidi"/>
          <w:color w:val="000000" w:themeColor="text1"/>
        </w:rPr>
        <w:t xml:space="preserve">. </w:t>
      </w:r>
      <w:r w:rsidR="004446FA">
        <w:rPr>
          <w:rFonts w:asciiTheme="majorBidi" w:hAnsiTheme="majorBidi" w:cstheme="majorBidi"/>
          <w:color w:val="000000" w:themeColor="text1"/>
        </w:rPr>
        <w:t xml:space="preserve">In </w:t>
      </w:r>
      <w:r w:rsidR="0027454F">
        <w:rPr>
          <w:rFonts w:asciiTheme="majorBidi" w:hAnsiTheme="majorBidi" w:cstheme="majorBidi"/>
          <w:color w:val="000000" w:themeColor="text1"/>
        </w:rPr>
        <w:t>addition</w:t>
      </w:r>
      <w:r w:rsidR="004446FA">
        <w:rPr>
          <w:rFonts w:asciiTheme="majorBidi" w:hAnsiTheme="majorBidi" w:cstheme="majorBidi"/>
          <w:color w:val="000000" w:themeColor="text1"/>
        </w:rPr>
        <w:t>,</w:t>
      </w:r>
      <w:r w:rsidR="00261EDF">
        <w:rPr>
          <w:rFonts w:asciiTheme="majorBidi" w:hAnsiTheme="majorBidi" w:cstheme="majorBidi"/>
          <w:color w:val="000000" w:themeColor="text1"/>
        </w:rPr>
        <w:t xml:space="preserve"> </w:t>
      </w:r>
      <w:r w:rsidR="000D2FA0">
        <w:rPr>
          <w:rFonts w:asciiTheme="majorBidi" w:hAnsiTheme="majorBidi" w:cstheme="majorBidi"/>
          <w:color w:val="000000" w:themeColor="text1"/>
        </w:rPr>
        <w:t>a</w:t>
      </w:r>
      <w:r w:rsidR="000D2FA0" w:rsidRPr="00493319">
        <w:rPr>
          <w:rFonts w:asciiTheme="majorBidi" w:hAnsiTheme="majorBidi" w:cstheme="majorBidi"/>
          <w:color w:val="000000" w:themeColor="text1"/>
        </w:rPr>
        <w:t xml:space="preserve">utophagy </w:t>
      </w:r>
      <w:r w:rsidR="00261EDF">
        <w:rPr>
          <w:rFonts w:asciiTheme="majorBidi" w:hAnsiTheme="majorBidi" w:cstheme="majorBidi"/>
          <w:color w:val="000000" w:themeColor="text1"/>
        </w:rPr>
        <w:t xml:space="preserve">activation </w:t>
      </w:r>
      <w:r w:rsidR="000D2FA0">
        <w:rPr>
          <w:rFonts w:asciiTheme="majorBidi" w:hAnsiTheme="majorBidi" w:cstheme="majorBidi"/>
          <w:color w:val="000000" w:themeColor="text1"/>
        </w:rPr>
        <w:t xml:space="preserve">significantly </w:t>
      </w:r>
      <w:r w:rsidR="009B5FBB" w:rsidRPr="00493319">
        <w:rPr>
          <w:rFonts w:asciiTheme="majorBidi" w:hAnsiTheme="majorBidi" w:cstheme="majorBidi"/>
          <w:color w:val="000000" w:themeColor="text1"/>
        </w:rPr>
        <w:t>increased gluconeogenesis and glucose production in HepG2 cells</w:t>
      </w:r>
      <w:r w:rsidR="00373A01">
        <w:rPr>
          <w:rFonts w:asciiTheme="majorBidi" w:hAnsiTheme="majorBidi" w:cstheme="majorBidi"/>
          <w:color w:val="000000" w:themeColor="text1"/>
        </w:rPr>
        <w:t xml:space="preserve">. </w:t>
      </w:r>
    </w:p>
    <w:p w:rsidR="00C247B3" w:rsidRPr="00F465D3" w:rsidRDefault="00F27AF8" w:rsidP="00C247B3">
      <w:pPr>
        <w:autoSpaceDE w:val="0"/>
        <w:autoSpaceDN w:val="0"/>
        <w:adjustRightInd w:val="0"/>
        <w:spacing w:after="240" w:line="360" w:lineRule="auto"/>
        <w:jc w:val="both"/>
        <w:rPr>
          <w:rFonts w:asciiTheme="majorBidi" w:hAnsiTheme="majorBidi" w:cstheme="majorBidi"/>
          <w:lang w:val="en-IE"/>
        </w:rPr>
      </w:pPr>
      <w:r w:rsidRPr="00F27AF8">
        <w:rPr>
          <w:rFonts w:asciiTheme="majorBidi" w:hAnsiTheme="majorBidi" w:cstheme="majorBidi"/>
          <w:color w:val="000000" w:themeColor="text1"/>
          <w:lang w:val="en-IE"/>
        </w:rPr>
        <w:t xml:space="preserve">Thus, immortalised hepatocytes may be sensing extracellular glucose concentrations as a pre- requisite to activating a gluconeogenic programme in response to glucagon. </w:t>
      </w:r>
      <w:r w:rsidR="00C247B3">
        <w:rPr>
          <w:rFonts w:asciiTheme="majorBidi" w:hAnsiTheme="majorBidi" w:cstheme="majorBidi"/>
          <w:color w:val="000000"/>
          <w:lang w:val="en-IE"/>
        </w:rPr>
        <w:t>These data point towards</w:t>
      </w:r>
      <w:r w:rsidR="00C247B3" w:rsidRPr="00F465D3">
        <w:rPr>
          <w:rFonts w:asciiTheme="majorBidi" w:hAnsiTheme="majorBidi" w:cstheme="majorBidi"/>
          <w:color w:val="000000"/>
          <w:lang w:val="en-IE"/>
        </w:rPr>
        <w:t xml:space="preserve"> a novel </w:t>
      </w:r>
      <w:r w:rsidR="00C247B3" w:rsidRPr="00F465D3">
        <w:rPr>
          <w:rFonts w:asciiTheme="majorBidi" w:hAnsiTheme="majorBidi" w:cstheme="majorBidi"/>
          <w:color w:val="000000" w:themeColor="text1"/>
          <w:lang w:val="en-IE"/>
        </w:rPr>
        <w:t xml:space="preserve">mechanism </w:t>
      </w:r>
      <w:r w:rsidR="00C247B3">
        <w:rPr>
          <w:rFonts w:asciiTheme="majorBidi" w:hAnsiTheme="majorBidi" w:cstheme="majorBidi"/>
          <w:color w:val="000000" w:themeColor="text1"/>
          <w:lang w:val="en-IE"/>
        </w:rPr>
        <w:t>that controls</w:t>
      </w:r>
      <w:r w:rsidR="00C247B3" w:rsidRPr="00F465D3">
        <w:rPr>
          <w:rFonts w:asciiTheme="majorBidi" w:hAnsiTheme="majorBidi" w:cstheme="majorBidi"/>
          <w:color w:val="000000"/>
          <w:lang w:val="en-IE"/>
        </w:rPr>
        <w:t xml:space="preserve"> autophagy</w:t>
      </w:r>
      <w:r w:rsidR="00C247B3">
        <w:rPr>
          <w:rFonts w:asciiTheme="majorBidi" w:hAnsiTheme="majorBidi" w:cstheme="majorBidi"/>
          <w:color w:val="000000"/>
          <w:lang w:val="en-IE"/>
        </w:rPr>
        <w:t xml:space="preserve"> induction by glucagon in hepatocytes</w:t>
      </w:r>
      <w:r w:rsidR="00C247B3" w:rsidRPr="00F465D3">
        <w:rPr>
          <w:rFonts w:asciiTheme="majorBidi" w:hAnsiTheme="majorBidi" w:cstheme="majorBidi"/>
          <w:color w:val="000000"/>
          <w:lang w:val="en-IE"/>
        </w:rPr>
        <w:t xml:space="preserve"> </w:t>
      </w:r>
      <w:r w:rsidR="00C247B3">
        <w:rPr>
          <w:rFonts w:asciiTheme="majorBidi" w:hAnsiTheme="majorBidi" w:cstheme="majorBidi"/>
          <w:color w:val="000000"/>
          <w:lang w:val="en-IE"/>
        </w:rPr>
        <w:t>to regulate</w:t>
      </w:r>
      <w:r w:rsidR="00C247B3" w:rsidRPr="00F465D3">
        <w:rPr>
          <w:rFonts w:asciiTheme="majorBidi" w:hAnsiTheme="majorBidi" w:cstheme="majorBidi"/>
          <w:color w:val="000000"/>
          <w:lang w:val="en-IE"/>
        </w:rPr>
        <w:t xml:space="preserve"> gluconeogenesis </w:t>
      </w:r>
      <w:r w:rsidR="00C247B3">
        <w:rPr>
          <w:rFonts w:asciiTheme="majorBidi" w:hAnsiTheme="majorBidi" w:cstheme="majorBidi"/>
          <w:color w:val="000000"/>
          <w:lang w:val="en-IE"/>
        </w:rPr>
        <w:t>and may offer new insights that may lead to new therapeutic strategies</w:t>
      </w:r>
      <w:r w:rsidR="00C247B3" w:rsidRPr="00F465D3">
        <w:rPr>
          <w:rFonts w:asciiTheme="majorBidi" w:hAnsiTheme="majorBidi" w:cstheme="majorBidi"/>
          <w:color w:val="000000"/>
          <w:lang w:val="en-IE"/>
        </w:rPr>
        <w:t xml:space="preserve"> for</w:t>
      </w:r>
      <w:r w:rsidR="00C247B3">
        <w:rPr>
          <w:rFonts w:asciiTheme="majorBidi" w:hAnsiTheme="majorBidi" w:cstheme="majorBidi"/>
          <w:color w:val="000000"/>
          <w:lang w:val="en-IE"/>
        </w:rPr>
        <w:t xml:space="preserve"> management of </w:t>
      </w:r>
      <w:r w:rsidR="00C247B3" w:rsidRPr="00F465D3">
        <w:rPr>
          <w:rFonts w:asciiTheme="majorBidi" w:hAnsiTheme="majorBidi" w:cstheme="majorBidi"/>
          <w:color w:val="000000"/>
          <w:lang w:val="en-IE"/>
        </w:rPr>
        <w:t xml:space="preserve">T2DM patients. </w:t>
      </w:r>
    </w:p>
    <w:p w:rsidR="000E40D5" w:rsidRPr="00C247B3" w:rsidRDefault="000E40D5" w:rsidP="00C247B3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,Bold" w:hAnsi="Times New Roman,Bold"/>
          <w:b/>
          <w:bCs/>
          <w:lang w:val="en-IE"/>
        </w:rPr>
      </w:pPr>
    </w:p>
    <w:p w:rsidR="00767EC1" w:rsidRDefault="00767EC1" w:rsidP="00767EC1">
      <w:pPr>
        <w:pStyle w:val="NormalWeb"/>
        <w:rPr>
          <w:rFonts w:ascii="Times New Roman,Bold" w:hAnsi="Times New Roman,Bold"/>
          <w:b/>
          <w:bCs/>
        </w:rPr>
      </w:pPr>
      <w:r w:rsidRPr="00773883">
        <w:rPr>
          <w:rFonts w:ascii="Times New Roman,Bold" w:hAnsi="Times New Roman,Bold"/>
          <w:b/>
          <w:bCs/>
        </w:rPr>
        <w:lastRenderedPageBreak/>
        <w:t xml:space="preserve">Biography </w:t>
      </w:r>
    </w:p>
    <w:p w:rsidR="00767EC1" w:rsidRDefault="00773883" w:rsidP="00E61709">
      <w:pPr>
        <w:pStyle w:val="NormalWeb"/>
        <w:spacing w:line="360" w:lineRule="auto"/>
        <w:jc w:val="both"/>
      </w:pPr>
      <w:r>
        <w:t>Salma</w:t>
      </w:r>
      <w:r w:rsidR="00767EC1">
        <w:t xml:space="preserve"> has been </w:t>
      </w:r>
      <w:r w:rsidR="005A43CC">
        <w:t>g</w:t>
      </w:r>
      <w:r w:rsidR="00767EC1">
        <w:t xml:space="preserve">raduated from </w:t>
      </w:r>
      <w:r w:rsidR="00A01B78">
        <w:t xml:space="preserve">king </w:t>
      </w:r>
      <w:proofErr w:type="spellStart"/>
      <w:r w:rsidR="00A01B78">
        <w:t>Abdulaziz</w:t>
      </w:r>
      <w:proofErr w:type="spellEnd"/>
      <w:r w:rsidR="00A01B78">
        <w:t xml:space="preserve"> </w:t>
      </w:r>
      <w:r w:rsidR="004E24E2">
        <w:t>U</w:t>
      </w:r>
      <w:r w:rsidR="00A01B78">
        <w:t>niversity in Jeddah, Saudi Arabia</w:t>
      </w:r>
      <w:r w:rsidR="00C02E6C">
        <w:t xml:space="preserve"> in Biochemistry</w:t>
      </w:r>
      <w:r w:rsidR="005A43CC">
        <w:t xml:space="preserve">. </w:t>
      </w:r>
      <w:r w:rsidR="00767EC1">
        <w:t xml:space="preserve">Later on </w:t>
      </w:r>
      <w:r w:rsidR="005A43CC">
        <w:t xml:space="preserve">she </w:t>
      </w:r>
      <w:r w:rsidR="00767EC1">
        <w:t xml:space="preserve">obtained </w:t>
      </w:r>
      <w:r w:rsidR="005A43CC">
        <w:t>the</w:t>
      </w:r>
      <w:r w:rsidR="00767EC1">
        <w:t xml:space="preserve"> post-graduation</w:t>
      </w:r>
      <w:r w:rsidR="00C02E6C">
        <w:t xml:space="preserve"> </w:t>
      </w:r>
      <w:r w:rsidR="00767EC1">
        <w:t xml:space="preserve">from </w:t>
      </w:r>
      <w:r w:rsidR="005A43CC">
        <w:t xml:space="preserve">king </w:t>
      </w:r>
      <w:proofErr w:type="spellStart"/>
      <w:r w:rsidR="005A43CC">
        <w:t>Abdulaziz</w:t>
      </w:r>
      <w:proofErr w:type="spellEnd"/>
      <w:r w:rsidR="005A43CC">
        <w:t xml:space="preserve"> </w:t>
      </w:r>
      <w:r w:rsidR="004E24E2">
        <w:t>U</w:t>
      </w:r>
      <w:r w:rsidR="005A43CC">
        <w:t>niversity</w:t>
      </w:r>
      <w:r w:rsidR="005A43CC">
        <w:t xml:space="preserve"> in </w:t>
      </w:r>
      <w:r w:rsidR="00C02E6C">
        <w:t>Biochemistry</w:t>
      </w:r>
      <w:r w:rsidR="00767EC1">
        <w:t xml:space="preserve"> </w:t>
      </w:r>
      <w:r w:rsidR="00C02E6C">
        <w:t>as well. T</w:t>
      </w:r>
      <w:r w:rsidR="00767EC1">
        <w:t>hen</w:t>
      </w:r>
      <w:r w:rsidR="00C02E6C">
        <w:t xml:space="preserve">, she </w:t>
      </w:r>
      <w:r w:rsidR="00767EC1">
        <w:t xml:space="preserve">started working at </w:t>
      </w:r>
      <w:r w:rsidR="005A43CC">
        <w:t>the same</w:t>
      </w:r>
      <w:r w:rsidR="005A43CC">
        <w:t xml:space="preserve"> </w:t>
      </w:r>
      <w:r w:rsidR="005E799F">
        <w:t>U</w:t>
      </w:r>
      <w:r w:rsidR="005A43CC">
        <w:t>niversity</w:t>
      </w:r>
      <w:r w:rsidR="005A43CC">
        <w:t xml:space="preserve"> as a lecturer. Now, she is doing her PhD in Trinity College Dublin, Ireland</w:t>
      </w:r>
      <w:r w:rsidR="00C02E6C">
        <w:t xml:space="preserve"> and her project </w:t>
      </w:r>
      <w:r w:rsidR="00771713">
        <w:t>focus</w:t>
      </w:r>
      <w:r w:rsidR="00C02E6C">
        <w:t xml:space="preserve"> on </w:t>
      </w:r>
      <w:r w:rsidR="00E61709">
        <w:t>hepatic autophagy</w:t>
      </w:r>
      <w:r w:rsidR="00E61709">
        <w:t xml:space="preserve"> and how its link to </w:t>
      </w:r>
      <w:r w:rsidR="00C02E6C">
        <w:t>T2DM</w:t>
      </w:r>
      <w:r w:rsidR="00E61709">
        <w:t>.</w:t>
      </w:r>
    </w:p>
    <w:p w:rsidR="00767EC1" w:rsidRPr="00173D5D" w:rsidRDefault="00767EC1" w:rsidP="00767EC1">
      <w:pPr>
        <w:pStyle w:val="NormalWeb"/>
        <w:rPr>
          <w:rFonts w:asciiTheme="majorBidi" w:hAnsiTheme="majorBidi" w:cstheme="majorBidi"/>
        </w:rPr>
      </w:pPr>
      <w:r>
        <w:rPr>
          <w:rFonts w:ascii="Times New Roman,Bold" w:hAnsi="Times New Roman,Bold"/>
        </w:rPr>
        <w:t xml:space="preserve">Keywords: </w:t>
      </w:r>
      <w:r w:rsidRPr="00173D5D">
        <w:rPr>
          <w:rFonts w:asciiTheme="majorBidi" w:hAnsiTheme="majorBidi" w:cstheme="majorBidi"/>
        </w:rPr>
        <w:t xml:space="preserve">T2DM, </w:t>
      </w:r>
      <w:r w:rsidR="00615328" w:rsidRPr="00173D5D">
        <w:rPr>
          <w:rFonts w:asciiTheme="majorBidi" w:hAnsiTheme="majorBidi" w:cstheme="majorBidi"/>
        </w:rPr>
        <w:t>Glucagon</w:t>
      </w:r>
      <w:r w:rsidR="00615328" w:rsidRPr="00173D5D">
        <w:rPr>
          <w:rFonts w:asciiTheme="majorBidi" w:hAnsiTheme="majorBidi" w:cstheme="majorBidi"/>
          <w:color w:val="000000"/>
        </w:rPr>
        <w:t xml:space="preserve">, </w:t>
      </w:r>
      <w:proofErr w:type="spellStart"/>
      <w:r w:rsidRPr="00173D5D">
        <w:rPr>
          <w:rFonts w:asciiTheme="majorBidi" w:hAnsiTheme="majorBidi" w:cstheme="majorBidi"/>
          <w:color w:val="000000"/>
        </w:rPr>
        <w:t>Hyperglycemia</w:t>
      </w:r>
      <w:proofErr w:type="spellEnd"/>
      <w:r w:rsidRPr="00173D5D">
        <w:rPr>
          <w:rFonts w:asciiTheme="majorBidi" w:hAnsiTheme="majorBidi" w:cstheme="majorBidi"/>
        </w:rPr>
        <w:t xml:space="preserve">, Gluconeogenesis, Autophagy.  </w:t>
      </w:r>
    </w:p>
    <w:p w:rsidR="00767EC1" w:rsidRDefault="00767EC1" w:rsidP="00767EC1">
      <w:pPr>
        <w:pStyle w:val="NormalWeb"/>
      </w:pPr>
      <w:r>
        <w:rPr>
          <w:rFonts w:ascii="Times New Roman,Bold" w:hAnsi="Times New Roman,Bold"/>
          <w:sz w:val="22"/>
          <w:szCs w:val="22"/>
        </w:rPr>
        <w:t xml:space="preserve">Desired presentation : </w:t>
      </w:r>
      <w:r>
        <w:rPr>
          <w:sz w:val="22"/>
          <w:szCs w:val="22"/>
        </w:rPr>
        <w:t xml:space="preserve">_ Oral / </w:t>
      </w:r>
      <w:r w:rsidRPr="00767EC1">
        <w:rPr>
          <w:b/>
          <w:bCs/>
          <w:sz w:val="22"/>
          <w:szCs w:val="22"/>
        </w:rPr>
        <w:t xml:space="preserve">_ </w:t>
      </w:r>
      <w:r w:rsidRPr="005E799F">
        <w:rPr>
          <w:b/>
          <w:bCs/>
          <w:sz w:val="32"/>
          <w:szCs w:val="32"/>
        </w:rPr>
        <w:t>Poster</w:t>
      </w:r>
      <w:r w:rsidRPr="005E799F">
        <w:rPr>
          <w:sz w:val="32"/>
          <w:szCs w:val="32"/>
        </w:rPr>
        <w:t xml:space="preserve"> </w:t>
      </w:r>
      <w:r>
        <w:rPr>
          <w:sz w:val="22"/>
          <w:szCs w:val="22"/>
        </w:rPr>
        <w:t xml:space="preserve">/ _ either </w:t>
      </w:r>
      <w:bookmarkStart w:id="7" w:name="_GoBack"/>
      <w:bookmarkEnd w:id="7"/>
    </w:p>
    <w:p w:rsidR="00767EC1" w:rsidRDefault="00767EC1" w:rsidP="00767EC1">
      <w:pPr>
        <w:pStyle w:val="NormalWeb"/>
      </w:pPr>
      <w:r>
        <w:rPr>
          <w:rFonts w:ascii="Times New Roman,Bold" w:hAnsi="Times New Roman,Bold"/>
          <w:sz w:val="22"/>
          <w:szCs w:val="22"/>
        </w:rPr>
        <w:t xml:space="preserve">Topic : </w:t>
      </w:r>
      <w:r>
        <w:rPr>
          <w:sz w:val="22"/>
          <w:szCs w:val="22"/>
        </w:rPr>
        <w:t xml:space="preserve">Type 2 diabetes  </w:t>
      </w:r>
    </w:p>
    <w:p w:rsidR="00767EC1" w:rsidRPr="00767EC1" w:rsidRDefault="00767EC1" w:rsidP="00767EC1">
      <w:pPr>
        <w:pStyle w:val="NormalWeb"/>
        <w:rPr>
          <w:rFonts w:ascii="Times New Roman,Bold" w:hAnsi="Times New Roman,Bold"/>
          <w:sz w:val="22"/>
          <w:szCs w:val="22"/>
        </w:rPr>
      </w:pPr>
      <w:r>
        <w:rPr>
          <w:rFonts w:ascii="Times New Roman,Bold" w:hAnsi="Times New Roman,Bold"/>
          <w:sz w:val="22"/>
          <w:szCs w:val="22"/>
        </w:rPr>
        <w:t xml:space="preserve">Corresponding Author Details: </w:t>
      </w:r>
      <w:r>
        <w:rPr>
          <w:sz w:val="22"/>
          <w:szCs w:val="22"/>
        </w:rPr>
        <w:t>Salma Aljahdali</w:t>
      </w:r>
      <w:r>
        <w:rPr>
          <w:rFonts w:ascii="Times New Roman,Bold" w:hAnsi="Times New Roman,Bold"/>
          <w:sz w:val="22"/>
          <w:szCs w:val="22"/>
        </w:rPr>
        <w:t xml:space="preserve">, </w:t>
      </w:r>
      <w:hyperlink r:id="rId6" w:history="1">
        <w:r w:rsidRPr="005B3AA8">
          <w:rPr>
            <w:rStyle w:val="Hyperlink"/>
            <w:sz w:val="22"/>
            <w:szCs w:val="22"/>
          </w:rPr>
          <w:t>aljahdas@tcd.ie</w:t>
        </w:r>
      </w:hyperlink>
      <w:r>
        <w:rPr>
          <w:rFonts w:ascii="Times New Roman,Bold" w:hAnsi="Times New Roman,Bold"/>
          <w:sz w:val="22"/>
          <w:szCs w:val="22"/>
        </w:rPr>
        <w:t xml:space="preserve">, </w:t>
      </w:r>
      <w:r>
        <w:rPr>
          <w:sz w:val="22"/>
          <w:szCs w:val="22"/>
        </w:rPr>
        <w:t>Trinity College Dublin</w:t>
      </w:r>
      <w:r>
        <w:rPr>
          <w:sz w:val="22"/>
          <w:szCs w:val="22"/>
        </w:rPr>
        <w:br/>
        <w:t xml:space="preserve">Dunlin, Ireland , 00353874486221 </w:t>
      </w:r>
    </w:p>
    <w:p w:rsidR="00767EC1" w:rsidRPr="00F465D3" w:rsidRDefault="00767EC1" w:rsidP="00C37E78">
      <w:pPr>
        <w:autoSpaceDE w:val="0"/>
        <w:autoSpaceDN w:val="0"/>
        <w:adjustRightInd w:val="0"/>
        <w:spacing w:after="240" w:line="360" w:lineRule="auto"/>
        <w:jc w:val="both"/>
        <w:rPr>
          <w:rFonts w:asciiTheme="majorBidi" w:hAnsiTheme="majorBidi" w:cstheme="majorBidi"/>
          <w:lang w:val="en-IE"/>
        </w:rPr>
      </w:pPr>
    </w:p>
    <w:bookmarkEnd w:id="0"/>
    <w:bookmarkEnd w:id="1"/>
    <w:bookmarkEnd w:id="2"/>
    <w:bookmarkEnd w:id="3"/>
    <w:bookmarkEnd w:id="4"/>
    <w:p w:rsidR="00C37E78" w:rsidRPr="003030D8" w:rsidRDefault="00C37E78" w:rsidP="00C37E78"/>
    <w:p w:rsidR="00212A2A" w:rsidRDefault="005E799F"/>
    <w:sectPr w:rsidR="00212A2A" w:rsidSect="007917B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NewRomanPSMT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,Bold">
    <w:altName w:val="Times New Roman"/>
    <w:panose1 w:val="00000800000000020000"/>
    <w:charset w:val="00"/>
    <w:family w:val="auto"/>
    <w:pitch w:val="variable"/>
    <w:sig w:usb0="E00002FF" w:usb1="5000205A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DB4067"/>
    <w:multiLevelType w:val="multilevel"/>
    <w:tmpl w:val="AAAAD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86E3A20"/>
    <w:multiLevelType w:val="multilevel"/>
    <w:tmpl w:val="3DAC3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78"/>
    <w:rsid w:val="00035EF3"/>
    <w:rsid w:val="000D2FA0"/>
    <w:rsid w:val="000E3D4D"/>
    <w:rsid w:val="000E40D5"/>
    <w:rsid w:val="00100723"/>
    <w:rsid w:val="0013214A"/>
    <w:rsid w:val="0016439A"/>
    <w:rsid w:val="00173D5D"/>
    <w:rsid w:val="001B6D78"/>
    <w:rsid w:val="002410A4"/>
    <w:rsid w:val="00261EDF"/>
    <w:rsid w:val="002660CB"/>
    <w:rsid w:val="0027454F"/>
    <w:rsid w:val="002C2E9A"/>
    <w:rsid w:val="002D6F1A"/>
    <w:rsid w:val="00373A01"/>
    <w:rsid w:val="00443B0F"/>
    <w:rsid w:val="004446FA"/>
    <w:rsid w:val="00493319"/>
    <w:rsid w:val="004A05B2"/>
    <w:rsid w:val="004D5FEA"/>
    <w:rsid w:val="004E24E2"/>
    <w:rsid w:val="00585FE2"/>
    <w:rsid w:val="005A43CC"/>
    <w:rsid w:val="005D71A1"/>
    <w:rsid w:val="005E799F"/>
    <w:rsid w:val="005F195F"/>
    <w:rsid w:val="00610526"/>
    <w:rsid w:val="00615328"/>
    <w:rsid w:val="00635D89"/>
    <w:rsid w:val="006B6B1F"/>
    <w:rsid w:val="006C5313"/>
    <w:rsid w:val="00767EC1"/>
    <w:rsid w:val="00771713"/>
    <w:rsid w:val="00773883"/>
    <w:rsid w:val="007917BE"/>
    <w:rsid w:val="007D2B2E"/>
    <w:rsid w:val="00817F47"/>
    <w:rsid w:val="008615BB"/>
    <w:rsid w:val="008720FD"/>
    <w:rsid w:val="008A0B54"/>
    <w:rsid w:val="008B5FD7"/>
    <w:rsid w:val="0091775D"/>
    <w:rsid w:val="00924245"/>
    <w:rsid w:val="00942BEA"/>
    <w:rsid w:val="00970B2B"/>
    <w:rsid w:val="009B5FBB"/>
    <w:rsid w:val="00A01B78"/>
    <w:rsid w:val="00A230DD"/>
    <w:rsid w:val="00A60885"/>
    <w:rsid w:val="00B07464"/>
    <w:rsid w:val="00B96CA6"/>
    <w:rsid w:val="00BE5F20"/>
    <w:rsid w:val="00C02E6C"/>
    <w:rsid w:val="00C247B3"/>
    <w:rsid w:val="00C37E78"/>
    <w:rsid w:val="00C43CC1"/>
    <w:rsid w:val="00CE479F"/>
    <w:rsid w:val="00DF4292"/>
    <w:rsid w:val="00E0502F"/>
    <w:rsid w:val="00E06934"/>
    <w:rsid w:val="00E61709"/>
    <w:rsid w:val="00E84BC1"/>
    <w:rsid w:val="00EA557C"/>
    <w:rsid w:val="00F11BA4"/>
    <w:rsid w:val="00F27AF8"/>
    <w:rsid w:val="00F8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33957"/>
  <w14:defaultImageDpi w14:val="32767"/>
  <w15:chartTrackingRefBased/>
  <w15:docId w15:val="{98B7AAD6-BC13-6242-BCBF-A98D5ADAC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37E78"/>
  </w:style>
  <w:style w:type="paragraph" w:styleId="Heading1">
    <w:name w:val="heading 1"/>
    <w:basedOn w:val="Normal"/>
    <w:link w:val="Heading1Char"/>
    <w:uiPriority w:val="9"/>
    <w:qFormat/>
    <w:rsid w:val="00C37E7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I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B54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Heading2"/>
    <w:link w:val="Heading3Char"/>
    <w:autoRedefine/>
    <w:uiPriority w:val="9"/>
    <w:unhideWhenUsed/>
    <w:qFormat/>
    <w:rsid w:val="008A0B54"/>
    <w:pPr>
      <w:numPr>
        <w:ilvl w:val="2"/>
        <w:numId w:val="2"/>
      </w:numPr>
      <w:ind w:left="357" w:hanging="357"/>
      <w:outlineLvl w:val="2"/>
    </w:pPr>
    <w:rPr>
      <w:rFonts w:asciiTheme="majorBidi" w:eastAsia="Times New Roman" w:hAnsiTheme="majorBidi" w:cstheme="majorBidi"/>
      <w:b/>
      <w:lang w:val="en-IE" w:eastAsia="en-GB"/>
    </w:rPr>
  </w:style>
  <w:style w:type="paragraph" w:styleId="Heading4">
    <w:name w:val="heading 4"/>
    <w:basedOn w:val="Normal"/>
    <w:link w:val="Heading4Char"/>
    <w:uiPriority w:val="9"/>
    <w:qFormat/>
    <w:rsid w:val="00C37E78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aliases w:val="SMJ"/>
    <w:basedOn w:val="Normal"/>
    <w:next w:val="Normal"/>
    <w:autoRedefine/>
    <w:uiPriority w:val="39"/>
    <w:unhideWhenUsed/>
    <w:qFormat/>
    <w:rsid w:val="008A0B54"/>
    <w:pPr>
      <w:spacing w:before="120"/>
    </w:pPr>
    <w:rPr>
      <w:rFonts w:asciiTheme="majorBidi" w:eastAsia="Times New Roman" w:hAnsiTheme="majorBidi" w:cstheme="minorHAnsi"/>
      <w:b/>
      <w:bCs/>
      <w:iCs/>
      <w:sz w:val="28"/>
      <w:szCs w:val="28"/>
      <w:lang w:val="en-IE"/>
    </w:rPr>
  </w:style>
  <w:style w:type="paragraph" w:customStyle="1" w:styleId="salma">
    <w:name w:val="salma"/>
    <w:basedOn w:val="Normal"/>
    <w:autoRedefine/>
    <w:qFormat/>
    <w:rsid w:val="008A0B54"/>
    <w:pPr>
      <w:spacing w:before="100" w:beforeAutospacing="1" w:after="100" w:afterAutospacing="1" w:line="480" w:lineRule="auto"/>
      <w:jc w:val="both"/>
    </w:pPr>
    <w:rPr>
      <w:rFonts w:asciiTheme="majorBidi" w:eastAsia="Times New Roman" w:hAnsiTheme="majorBidi" w:cstheme="majorBidi"/>
      <w:color w:val="000000" w:themeColor="text1"/>
      <w:lang w:val="en-IE"/>
    </w:rPr>
  </w:style>
  <w:style w:type="character" w:customStyle="1" w:styleId="Heading3Char">
    <w:name w:val="Heading 3 Char"/>
    <w:basedOn w:val="DefaultParagraphFont"/>
    <w:link w:val="Heading3"/>
    <w:uiPriority w:val="9"/>
    <w:rsid w:val="008A0B54"/>
    <w:rPr>
      <w:rFonts w:asciiTheme="majorBidi" w:eastAsia="Times New Roman" w:hAnsiTheme="majorBidi" w:cstheme="majorBidi"/>
      <w:b/>
      <w:lang w:val="en-IE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B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C37E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37E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7E7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37E78"/>
    <w:rPr>
      <w:rFonts w:ascii="Times New Roman" w:eastAsia="Times New Roman" w:hAnsi="Times New Roman" w:cs="Times New Roman"/>
      <w:b/>
      <w:bCs/>
      <w:kern w:val="36"/>
      <w:sz w:val="48"/>
      <w:szCs w:val="48"/>
      <w:lang w:val="en-IE"/>
    </w:rPr>
  </w:style>
  <w:style w:type="character" w:customStyle="1" w:styleId="Heading4Char">
    <w:name w:val="Heading 4 Char"/>
    <w:basedOn w:val="DefaultParagraphFont"/>
    <w:link w:val="Heading4"/>
    <w:uiPriority w:val="9"/>
    <w:rsid w:val="00C37E78"/>
    <w:rPr>
      <w:rFonts w:ascii="Times New Roman" w:eastAsia="Times New Roman" w:hAnsi="Times New Roman" w:cs="Times New Roman"/>
      <w:b/>
      <w:bCs/>
      <w:lang w:val="en-IE"/>
    </w:rPr>
  </w:style>
  <w:style w:type="paragraph" w:customStyle="1" w:styleId="h3">
    <w:name w:val="h3"/>
    <w:basedOn w:val="Normal"/>
    <w:rsid w:val="00C37E7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IE"/>
    </w:rPr>
  </w:style>
  <w:style w:type="character" w:customStyle="1" w:styleId="apple-converted-space">
    <w:name w:val="apple-converted-space"/>
    <w:basedOn w:val="DefaultParagraphFont"/>
    <w:rsid w:val="00C37E78"/>
  </w:style>
  <w:style w:type="character" w:styleId="Emphasis">
    <w:name w:val="Emphasis"/>
    <w:basedOn w:val="DefaultParagraphFont"/>
    <w:uiPriority w:val="20"/>
    <w:qFormat/>
    <w:rsid w:val="00C37E7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6439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6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97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0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9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77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4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4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4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1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3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0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9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96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6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58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81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33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35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jahdas@tcd.i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27626B-515F-784B-A2AF-BAD2E7253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Aljahdali</dc:creator>
  <cp:keywords/>
  <dc:description/>
  <cp:lastModifiedBy>Salma Aljahdali</cp:lastModifiedBy>
  <cp:revision>41</cp:revision>
  <dcterms:created xsi:type="dcterms:W3CDTF">2019-01-14T15:20:00Z</dcterms:created>
  <dcterms:modified xsi:type="dcterms:W3CDTF">2019-01-24T18:05:00Z</dcterms:modified>
</cp:coreProperties>
</file>