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200F6" w:rsidRPr="00C202D5" w:rsidRDefault="00B3082B" w:rsidP="00D200F6">
      <w:pPr>
        <w:spacing w:before="120" w:after="120" w:line="240" w:lineRule="auto"/>
        <w:ind w:left="-283" w:right="-142" w:hanging="426"/>
        <w:jc w:val="both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D200F6" w:rsidRPr="00C202D5">
        <w:rPr>
          <w:rFonts w:asciiTheme="majorBidi" w:hAnsiTheme="majorBidi" w:cstheme="majorBidi"/>
          <w:b/>
          <w:bCs/>
          <w:sz w:val="30"/>
          <w:szCs w:val="30"/>
        </w:rPr>
        <w:t>Validity of the CHA2DS2VASc Score in Assessment of Prognosis of STEMI Patients Irrespective of Presence of Atrial Fibrillation</w:t>
      </w:r>
    </w:p>
    <w:p w:rsidR="00D200F6" w:rsidRPr="00FF0B97" w:rsidRDefault="00D200F6" w:rsidP="00D200F6">
      <w:pPr>
        <w:tabs>
          <w:tab w:val="center" w:pos="4153"/>
          <w:tab w:val="left" w:pos="7242"/>
        </w:tabs>
        <w:spacing w:before="120" w:after="120"/>
        <w:rPr>
          <w:rFonts w:asciiTheme="majorBidi" w:eastAsia="Calibri" w:hAnsiTheme="majorBidi" w:cstheme="majorBidi"/>
          <w:b/>
          <w:bCs/>
          <w:sz w:val="28"/>
          <w:szCs w:val="28"/>
          <w:lang w:bidi="ar-EG"/>
        </w:rPr>
      </w:pPr>
      <w:r w:rsidRPr="00DA5A0E">
        <w:rPr>
          <w:rFonts w:asciiTheme="majorBidi" w:eastAsia="Times New Roman" w:hAnsiTheme="majorBidi" w:cstheme="majorBidi"/>
          <w:b/>
          <w:bCs/>
          <w:sz w:val="24"/>
          <w:szCs w:val="24"/>
        </w:rPr>
        <w:tab/>
      </w:r>
      <w:r w:rsidRPr="00FF0B97">
        <w:rPr>
          <w:rFonts w:asciiTheme="majorBidi" w:eastAsia="Times New Roman" w:hAnsiTheme="majorBidi" w:cstheme="majorBidi"/>
          <w:b/>
          <w:bCs/>
          <w:sz w:val="28"/>
          <w:szCs w:val="28"/>
        </w:rPr>
        <w:t>A Single-Center Prospective</w:t>
      </w:r>
      <w:r w:rsidRPr="00FF0B97"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bidi="ar-EG"/>
        </w:rPr>
        <w:t xml:space="preserve"> </w:t>
      </w:r>
      <w:r w:rsidRPr="00FF0B97">
        <w:rPr>
          <w:rFonts w:asciiTheme="majorBidi" w:eastAsia="Calibri" w:hAnsiTheme="majorBidi" w:cstheme="majorBidi"/>
          <w:b/>
          <w:bCs/>
          <w:sz w:val="28"/>
          <w:szCs w:val="28"/>
          <w:lang w:bidi="ar-EG"/>
        </w:rPr>
        <w:t>observational study</w:t>
      </w:r>
    </w:p>
    <w:p w:rsidR="00D200F6" w:rsidRPr="00C202D5" w:rsidRDefault="00D200F6" w:rsidP="00D200F6">
      <w:pPr>
        <w:spacing w:before="120" w:after="120"/>
        <w:ind w:right="-1050" w:hanging="709"/>
        <w:rPr>
          <w:rFonts w:ascii="Cambria" w:eastAsia="Calibri" w:hAnsi="Cambria" w:cs="Arial"/>
          <w:b/>
          <w:bCs/>
          <w:i/>
          <w:iCs/>
          <w:sz w:val="24"/>
          <w:szCs w:val="24"/>
          <w:lang w:bidi="ar-EG"/>
        </w:rPr>
      </w:pPr>
      <w:proofErr w:type="gramStart"/>
      <w:r w:rsidRPr="00C202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Salwa R. Dmitry, MD; Shams-Eddin H, MD;</w:t>
      </w:r>
      <w:r w:rsidRPr="00C202D5">
        <w:rPr>
          <w:rFonts w:ascii="Bodoni MT Black" w:eastAsia="Calibri" w:hAnsi="Bodoni MT Black" w:cs="Arial"/>
          <w:b/>
          <w:bCs/>
          <w:i/>
          <w:iCs/>
          <w:color w:val="FF0000"/>
          <w:sz w:val="24"/>
          <w:szCs w:val="24"/>
          <w:lang w:bidi="ar-EG"/>
        </w:rPr>
        <w:t xml:space="preserve"> </w:t>
      </w:r>
      <w:r w:rsidRPr="00C202D5">
        <w:rPr>
          <w:rFonts w:ascii="Cambria" w:eastAsia="Calibri" w:hAnsi="Cambria" w:cs="Arial"/>
          <w:b/>
          <w:bCs/>
          <w:i/>
          <w:iCs/>
          <w:sz w:val="24"/>
          <w:szCs w:val="24"/>
          <w:lang w:bidi="ar-EG"/>
        </w:rPr>
        <w:t>Khaled M. El-maghraby, MD; Alaa F. Kaoud MSc.</w:t>
      </w:r>
      <w:proofErr w:type="gramEnd"/>
    </w:p>
    <w:p w:rsidR="0028059F" w:rsidRPr="00D200F6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DF04E3" w:rsidRPr="00435234" w:rsidRDefault="00DF04E3" w:rsidP="00D200F6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200F6">
        <w:rPr>
          <w:rFonts w:ascii="Times New Roman" w:hAnsi="Times New Roman" w:cs="Times New Roman"/>
          <w:i/>
          <w:iCs/>
          <w:sz w:val="24"/>
        </w:rPr>
        <w:t>Hamdy Shams-eddin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D200F6">
        <w:rPr>
          <w:rFonts w:ascii="Times New Roman" w:hAnsi="Times New Roman" w:cs="Times New Roman"/>
          <w:i/>
          <w:iCs/>
          <w:sz w:val="24"/>
        </w:rPr>
        <w:t xml:space="preserve">Assiut </w:t>
      </w:r>
      <w:r w:rsidR="00D200F6" w:rsidRPr="00435234">
        <w:rPr>
          <w:rFonts w:ascii="Times New Roman" w:hAnsi="Times New Roman" w:cs="Times New Roman"/>
          <w:i/>
          <w:iCs/>
          <w:sz w:val="24"/>
        </w:rPr>
        <w:t>University,</w:t>
      </w:r>
      <w:r w:rsidR="00D200F6">
        <w:rPr>
          <w:rFonts w:ascii="Times New Roman" w:hAnsi="Times New Roman" w:cs="Times New Roman"/>
          <w:i/>
          <w:iCs/>
          <w:sz w:val="24"/>
        </w:rPr>
        <w:t xml:space="preserve"> Egypt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200F6" w:rsidRDefault="00DF04E3" w:rsidP="00D200F6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D200F6">
        <w:rPr>
          <w:rFonts w:ascii="Times New Roman" w:hAnsi="Times New Roman" w:cs="Times New Roman"/>
          <w:i/>
          <w:iCs/>
          <w:sz w:val="24"/>
        </w:rPr>
        <w:t>Khaled M A El-maghraby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D200F6">
        <w:rPr>
          <w:rFonts w:ascii="Times New Roman" w:hAnsi="Times New Roman" w:cs="Times New Roman"/>
          <w:i/>
          <w:iCs/>
          <w:sz w:val="24"/>
        </w:rPr>
        <w:t xml:space="preserve">Assiut </w:t>
      </w:r>
      <w:r w:rsidR="00D200F6" w:rsidRPr="00435234">
        <w:rPr>
          <w:rFonts w:ascii="Times New Roman" w:hAnsi="Times New Roman" w:cs="Times New Roman"/>
          <w:i/>
          <w:iCs/>
          <w:sz w:val="24"/>
        </w:rPr>
        <w:t>University,</w:t>
      </w:r>
      <w:r w:rsidR="00D200F6">
        <w:rPr>
          <w:rFonts w:ascii="Times New Roman" w:hAnsi="Times New Roman" w:cs="Times New Roman"/>
          <w:i/>
          <w:iCs/>
          <w:sz w:val="24"/>
        </w:rPr>
        <w:t xml:space="preserve"> Egypt)</w:t>
      </w:r>
    </w:p>
    <w:p w:rsidR="00D200F6" w:rsidRDefault="00D200F6" w:rsidP="00D200F6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3Salwa R Dimitry </w:t>
      </w:r>
      <w:r w:rsidRPr="00435234">
        <w:rPr>
          <w:rFonts w:ascii="Times New Roman" w:hAnsi="Times New Roman" w:cs="Times New Roman"/>
          <w:i/>
          <w:iCs/>
          <w:sz w:val="24"/>
        </w:rPr>
        <w:t>(</w:t>
      </w:r>
      <w:r>
        <w:rPr>
          <w:rFonts w:ascii="Times New Roman" w:hAnsi="Times New Roman" w:cs="Times New Roman"/>
          <w:i/>
          <w:iCs/>
          <w:sz w:val="24"/>
        </w:rPr>
        <w:t xml:space="preserve">Assiut </w:t>
      </w:r>
      <w:r w:rsidRPr="00435234">
        <w:rPr>
          <w:rFonts w:ascii="Times New Roman" w:hAnsi="Times New Roman" w:cs="Times New Roman"/>
          <w:i/>
          <w:iCs/>
          <w:sz w:val="24"/>
        </w:rPr>
        <w:t>University,</w:t>
      </w:r>
      <w:r>
        <w:rPr>
          <w:rFonts w:ascii="Times New Roman" w:hAnsi="Times New Roman" w:cs="Times New Roman"/>
          <w:i/>
          <w:iCs/>
          <w:sz w:val="24"/>
        </w:rPr>
        <w:t xml:space="preserve"> Egypt)</w:t>
      </w:r>
    </w:p>
    <w:p w:rsidR="00D200F6" w:rsidRDefault="00D200F6" w:rsidP="00D200F6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4</w:t>
      </w:r>
      <w:r>
        <w:rPr>
          <w:rFonts w:ascii="Times New Roman" w:hAnsi="Times New Roman" w:cs="Times New Roman"/>
          <w:i/>
          <w:iCs/>
          <w:sz w:val="24"/>
        </w:rPr>
        <w:t xml:space="preserve">Alaa </w:t>
      </w:r>
      <w:proofErr w:type="gramStart"/>
      <w:r>
        <w:rPr>
          <w:rFonts w:ascii="Times New Roman" w:hAnsi="Times New Roman" w:cs="Times New Roman"/>
          <w:i/>
          <w:iCs/>
          <w:sz w:val="24"/>
        </w:rPr>
        <w:t xml:space="preserve">Fawzy 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proofErr w:type="gramEnd"/>
      <w:r>
        <w:rPr>
          <w:rFonts w:ascii="Times New Roman" w:hAnsi="Times New Roman" w:cs="Times New Roman"/>
          <w:i/>
          <w:iCs/>
          <w:sz w:val="24"/>
        </w:rPr>
        <w:t xml:space="preserve">Assiut </w:t>
      </w:r>
      <w:r w:rsidRPr="00435234">
        <w:rPr>
          <w:rFonts w:ascii="Times New Roman" w:hAnsi="Times New Roman" w:cs="Times New Roman"/>
          <w:i/>
          <w:iCs/>
          <w:sz w:val="24"/>
        </w:rPr>
        <w:t>University,</w:t>
      </w:r>
      <w:r>
        <w:rPr>
          <w:rFonts w:ascii="Times New Roman" w:hAnsi="Times New Roman" w:cs="Times New Roman"/>
          <w:i/>
          <w:iCs/>
          <w:sz w:val="24"/>
        </w:rPr>
        <w:t xml:space="preserve"> Egypt)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D200F6" w:rsidRDefault="00D200F6" w:rsidP="00D200F6">
      <w:pPr>
        <w:spacing w:line="360" w:lineRule="auto"/>
        <w:ind w:right="-242"/>
        <w:jc w:val="both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A44760">
        <w:rPr>
          <w:rFonts w:ascii="Arial" w:hAnsi="Arial" w:cs="Arial"/>
          <w:b/>
          <w:bCs/>
          <w:sz w:val="24"/>
          <w:szCs w:val="24"/>
        </w:rPr>
        <w:t>Background</w:t>
      </w:r>
      <w:r w:rsidRPr="00A44760">
        <w:rPr>
          <w:rFonts w:ascii="Arial" w:eastAsia="Calibri" w:hAnsi="Arial" w:cs="Arial"/>
          <w:b/>
          <w:bCs/>
          <w:sz w:val="24"/>
          <w:szCs w:val="24"/>
          <w:lang w:bidi="ar-EG"/>
        </w:rPr>
        <w:t>:</w:t>
      </w:r>
      <w:r w:rsidRPr="007D39D4">
        <w:t xml:space="preserve"> </w:t>
      </w:r>
      <w:r w:rsidRPr="00CF7748">
        <w:rPr>
          <w:rFonts w:ascii="Times New Roman" w:eastAsia="Calibri" w:hAnsi="Times New Roman" w:cs="Times New Roman"/>
          <w:lang w:bidi="ar-EG"/>
        </w:rPr>
        <w:t>The CHADS2 and CHA2DS2VASc and scoring systems were designed to stratify thromboembolic risk in patients with atrial fibrillation (AF).</w:t>
      </w:r>
      <w:r w:rsidRPr="00CF7748">
        <w:rPr>
          <w:rFonts w:asciiTheme="majorBidi" w:eastAsia="Calibri" w:hAnsiTheme="majorBidi" w:cstheme="majorBidi"/>
          <w:lang w:bidi="ar-EG"/>
        </w:rPr>
        <w:t xml:space="preserve"> </w:t>
      </w:r>
      <w:r w:rsidRPr="00CF7748">
        <w:rPr>
          <w:rFonts w:ascii="Times New Roman" w:eastAsia="Calibri" w:hAnsi="Times New Roman" w:cs="Times New Roman"/>
          <w:lang w:bidi="ar-EG"/>
        </w:rPr>
        <w:t>All the components of CHA2DS2VASc are important risk and prognostic factors for cardiovascular disease. This study</w:t>
      </w:r>
      <w:r w:rsidRPr="00CF7748">
        <w:rPr>
          <w:rFonts w:asciiTheme="majorBidi" w:eastAsia="Calibri" w:hAnsiTheme="majorBidi" w:cstheme="majorBidi"/>
          <w:b/>
          <w:bCs/>
          <w:color w:val="4F81BD" w:themeColor="accent1"/>
          <w:lang w:bidi="ar-EG"/>
        </w:rPr>
        <w:t xml:space="preserve"> </w:t>
      </w:r>
      <w:r w:rsidRPr="00CF7748">
        <w:rPr>
          <w:rFonts w:ascii="Times New Roman" w:eastAsia="Calibri" w:hAnsi="Times New Roman" w:cs="Times New Roman"/>
          <w:lang w:bidi="ar-EG"/>
        </w:rPr>
        <w:t>evaluates the effectiveness and accuracy of CHA2DS2VASc score as a risk-stratification tool for in hospital and short-term clinical outcome in ST-elevation myocardial infarction (STEMI) patients</w:t>
      </w:r>
      <w:r>
        <w:rPr>
          <w:rFonts w:ascii="Times New Roman" w:eastAsia="Calibri" w:hAnsi="Times New Roman" w:cs="Times New Roman"/>
          <w:sz w:val="24"/>
          <w:szCs w:val="24"/>
          <w:lang w:bidi="ar-EG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bidi="ar-EG"/>
        </w:rPr>
        <w:tab/>
      </w:r>
    </w:p>
    <w:p w:rsidR="00D200F6" w:rsidRPr="00CF7748" w:rsidRDefault="00D200F6" w:rsidP="00D200F6">
      <w:pPr>
        <w:spacing w:line="360" w:lineRule="auto"/>
        <w:ind w:right="-242"/>
        <w:jc w:val="both"/>
        <w:rPr>
          <w:rFonts w:ascii="Times New Roman" w:eastAsia="Calibri" w:hAnsi="Times New Roman" w:cs="Times New Roman"/>
          <w:lang w:bidi="ar-EG"/>
        </w:rPr>
      </w:pPr>
      <w:r w:rsidRPr="00A44760">
        <w:rPr>
          <w:rFonts w:ascii="Arial" w:eastAsia="Calibri" w:hAnsi="Arial" w:cs="Arial"/>
          <w:b/>
          <w:bCs/>
          <w:sz w:val="24"/>
          <w:szCs w:val="24"/>
          <w:lang w:bidi="ar-EG"/>
        </w:rPr>
        <w:t>Materials and methods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:</w:t>
      </w:r>
      <w:r w:rsidRPr="00723F13">
        <w:rPr>
          <w:rFonts w:asciiTheme="majorBidi" w:hAnsiTheme="majorBidi" w:cstheme="majorBidi"/>
          <w:sz w:val="24"/>
          <w:szCs w:val="24"/>
        </w:rPr>
        <w:t xml:space="preserve"> </w:t>
      </w:r>
      <w:r w:rsidRPr="00CF7748">
        <w:rPr>
          <w:rFonts w:asciiTheme="majorBidi" w:hAnsiTheme="majorBidi" w:cstheme="majorBidi"/>
        </w:rPr>
        <w:t>Our study involved 171 patients admitted with STEMI regardless of presence or absence of</w:t>
      </w:r>
      <w:r>
        <w:rPr>
          <w:rFonts w:asciiTheme="majorBidi" w:hAnsiTheme="majorBidi" w:cstheme="majorBidi"/>
        </w:rPr>
        <w:t xml:space="preserve"> </w:t>
      </w:r>
      <w:r w:rsidRPr="00CF7748">
        <w:rPr>
          <w:rFonts w:asciiTheme="majorBidi" w:hAnsiTheme="majorBidi" w:cstheme="majorBidi"/>
        </w:rPr>
        <w:t>AF.</w:t>
      </w:r>
      <w:r w:rsidRPr="00CF7748">
        <w:rPr>
          <w:rFonts w:asciiTheme="majorBidi" w:eastAsia="Calibri" w:hAnsiTheme="majorBidi" w:cstheme="majorBidi"/>
          <w:lang w:bidi="ar-EG"/>
        </w:rPr>
        <w:t>GRACE, TIMI and CHA2DS2VASc scores were calculated to all</w:t>
      </w:r>
      <w:r>
        <w:rPr>
          <w:rFonts w:asciiTheme="majorBidi" w:eastAsia="Calibri" w:hAnsiTheme="majorBidi" w:cstheme="majorBidi"/>
          <w:lang w:bidi="ar-EG"/>
        </w:rPr>
        <w:t xml:space="preserve"> patients at</w:t>
      </w:r>
      <w:r w:rsidRPr="00CF7748">
        <w:rPr>
          <w:rFonts w:asciiTheme="majorBidi" w:eastAsia="Calibri" w:hAnsiTheme="majorBidi" w:cstheme="majorBidi"/>
          <w:lang w:bidi="ar-EG"/>
        </w:rPr>
        <w:t xml:space="preserve"> hospital admission.</w:t>
      </w:r>
      <w:r w:rsidRPr="00CF7748">
        <w:rPr>
          <w:rFonts w:asciiTheme="majorBidi" w:hAnsiTheme="majorBidi" w:cstheme="majorBidi"/>
        </w:rPr>
        <w:t xml:space="preserve"> Patients were divided into three groups (score0-2, 3-4 and ≥5) according to CHA2DS2VASc RS .T</w:t>
      </w:r>
      <w:r w:rsidRPr="00CF7748">
        <w:rPr>
          <w:rFonts w:asciiTheme="majorBidi" w:eastAsia="Calibri" w:hAnsiTheme="majorBidi" w:cstheme="majorBidi"/>
          <w:lang w:bidi="ar-EG"/>
        </w:rPr>
        <w:t>he primary end point was major adverse cardiovascular events (MACE) including cardiovascular death, non- fatal myocardial infarction (MI), and s</w:t>
      </w:r>
      <w:r>
        <w:rPr>
          <w:rFonts w:asciiTheme="majorBidi" w:eastAsia="Calibri" w:hAnsiTheme="majorBidi" w:cstheme="majorBidi"/>
          <w:lang w:bidi="ar-EG"/>
        </w:rPr>
        <w:t xml:space="preserve">troke during hospital admission at </w:t>
      </w:r>
      <w:r w:rsidRPr="00CF7748">
        <w:rPr>
          <w:rFonts w:asciiTheme="majorBidi" w:eastAsia="Calibri" w:hAnsiTheme="majorBidi" w:cstheme="majorBidi"/>
          <w:lang w:bidi="ar-EG"/>
        </w:rPr>
        <w:t>3 months and 6 months.</w:t>
      </w:r>
      <w:r w:rsidRPr="00CF7748">
        <w:t xml:space="preserve"> </w:t>
      </w:r>
      <w:r w:rsidRPr="00CF7748">
        <w:rPr>
          <w:rFonts w:asciiTheme="majorBidi" w:eastAsia="Calibri" w:hAnsiTheme="majorBidi" w:cstheme="majorBidi"/>
          <w:lang w:bidi="ar-EG"/>
        </w:rPr>
        <w:t>The area under the receiver operating characteristic curve</w:t>
      </w:r>
      <w:r>
        <w:rPr>
          <w:rFonts w:asciiTheme="majorBidi" w:eastAsia="Calibri" w:hAnsiTheme="majorBidi" w:cstheme="majorBidi"/>
          <w:lang w:bidi="ar-EG"/>
        </w:rPr>
        <w:t xml:space="preserve"> (AUC)</w:t>
      </w:r>
      <w:r w:rsidRPr="00CF7748">
        <w:rPr>
          <w:rFonts w:asciiTheme="majorBidi" w:eastAsia="Calibri" w:hAnsiTheme="majorBidi" w:cstheme="majorBidi"/>
          <w:lang w:bidi="ar-EG"/>
        </w:rPr>
        <w:t xml:space="preserve"> was used to evaluate the predictive ability of each score at different time points.</w:t>
      </w:r>
    </w:p>
    <w:p w:rsidR="00D200F6" w:rsidRPr="00CF7748" w:rsidRDefault="00D200F6" w:rsidP="00D200F6">
      <w:pPr>
        <w:spacing w:line="360" w:lineRule="auto"/>
        <w:ind w:right="-242"/>
        <w:jc w:val="both"/>
        <w:rPr>
          <w:rFonts w:ascii="Times New Roman" w:eastAsia="Calibri" w:hAnsi="Times New Roman" w:cs="Times New Roman"/>
          <w:lang w:bidi="ar-EG"/>
        </w:rPr>
      </w:pPr>
      <w:r w:rsidRPr="00A44760">
        <w:rPr>
          <w:rFonts w:ascii="Arial" w:eastAsia="Calibri" w:hAnsi="Arial" w:cs="Arial"/>
          <w:b/>
          <w:bCs/>
          <w:sz w:val="24"/>
          <w:szCs w:val="24"/>
          <w:lang w:bidi="ar-EG"/>
        </w:rPr>
        <w:t>Results:</w:t>
      </w:r>
      <w:r w:rsidRPr="00CF7748">
        <w:rPr>
          <w:rFonts w:ascii="Times New Roman" w:eastAsia="Calibri" w:hAnsi="Times New Roman" w:cs="Times New Roman"/>
          <w:b/>
          <w:bCs/>
          <w:lang w:bidi="ar-EG"/>
        </w:rPr>
        <w:t xml:space="preserve"> </w:t>
      </w:r>
      <w:r w:rsidRPr="00CF7748">
        <w:rPr>
          <w:rFonts w:ascii="Times New Roman" w:eastAsia="Calibri" w:hAnsi="Times New Roman" w:cs="Times New Roman"/>
          <w:lang w:bidi="ar-EG"/>
        </w:rPr>
        <w:t xml:space="preserve">Our six months follow up was completed </w:t>
      </w:r>
      <w:r>
        <w:rPr>
          <w:rFonts w:ascii="Times New Roman" w:eastAsia="Calibri" w:hAnsi="Times New Roman" w:cs="Times New Roman"/>
          <w:lang w:bidi="ar-EG"/>
        </w:rPr>
        <w:t>in</w:t>
      </w:r>
      <w:r w:rsidRPr="00CF7748">
        <w:rPr>
          <w:rFonts w:ascii="Times New Roman" w:eastAsia="Calibri" w:hAnsi="Times New Roman" w:cs="Times New Roman"/>
          <w:lang w:bidi="ar-EG"/>
        </w:rPr>
        <w:t xml:space="preserve"> all patients. Cumulative incidence of MACE was 29 cases.</w:t>
      </w:r>
      <w:r w:rsidRPr="00CF7748">
        <w:t xml:space="preserve"> </w:t>
      </w:r>
      <w:r w:rsidRPr="00CF7748">
        <w:rPr>
          <w:rFonts w:ascii="Times New Roman" w:eastAsia="Calibri" w:hAnsi="Times New Roman" w:cs="Times New Roman"/>
          <w:lang w:bidi="ar-EG"/>
        </w:rPr>
        <w:t>In chi-square analysis, incidence of MACE was significantly higher in patients with CHA2DS2VASc score ≥5compared to3–4and 0–2 (</w:t>
      </w:r>
      <w:r w:rsidRPr="00CF7748">
        <w:rPr>
          <w:rFonts w:ascii="Times New Roman" w:eastAsia="Calibri" w:hAnsi="Times New Roman" w:cs="Times New Roman"/>
          <w:color w:val="000000"/>
        </w:rPr>
        <w:t>38.89% vs</w:t>
      </w:r>
      <w:r w:rsidRPr="00CF7748">
        <w:rPr>
          <w:rFonts w:ascii="Times New Roman" w:eastAsia="Calibri" w:hAnsi="Times New Roman" w:cs="Times New Roman"/>
          <w:lang w:bidi="ar-EG"/>
        </w:rPr>
        <w:t>19.57% vs</w:t>
      </w:r>
      <w:r w:rsidRPr="00CF7748">
        <w:rPr>
          <w:rFonts w:ascii="Times New Roman" w:eastAsia="Calibri" w:hAnsi="Times New Roman" w:cs="Times New Roman"/>
          <w:color w:val="000000"/>
        </w:rPr>
        <w:t>12.15%, P</w:t>
      </w:r>
      <w:r w:rsidRPr="00CF7748">
        <w:rPr>
          <w:rFonts w:ascii="Times New Roman" w:eastAsia="Calibri" w:hAnsi="Times New Roman" w:cs="Times New Roman"/>
          <w:lang w:bidi="ar-EG"/>
        </w:rPr>
        <w:t xml:space="preserve"> = 0.01).</w:t>
      </w:r>
      <w:r w:rsidRPr="00CF7748">
        <w:rPr>
          <w:rFonts w:asciiTheme="majorBidi" w:hAnsiTheme="majorBidi" w:cstheme="majorBidi"/>
        </w:rPr>
        <w:t xml:space="preserve">Death is the most significant complication </w:t>
      </w:r>
      <w:r>
        <w:rPr>
          <w:rFonts w:asciiTheme="majorBidi" w:hAnsiTheme="majorBidi" w:cstheme="majorBidi"/>
        </w:rPr>
        <w:t>(</w:t>
      </w:r>
      <w:r w:rsidRPr="00915003">
        <w:rPr>
          <w:rFonts w:ascii="Italic" w:hAnsi="Italic" w:cstheme="majorBidi"/>
        </w:rPr>
        <w:t>p&lt;0.001</w:t>
      </w:r>
      <w:r w:rsidRPr="00CF7748">
        <w:rPr>
          <w:rFonts w:asciiTheme="majorBidi" w:hAnsiTheme="majorBidi" w:cstheme="majorBidi"/>
        </w:rPr>
        <w:t>)</w:t>
      </w:r>
      <w:r w:rsidRPr="00CF7748">
        <w:t xml:space="preserve">. </w:t>
      </w:r>
      <w:r w:rsidRPr="00CF7748">
        <w:rPr>
          <w:rFonts w:ascii="Times New Roman" w:eastAsia="Calibri" w:hAnsi="Times New Roman" w:cs="Times New Roman"/>
          <w:lang w:bidi="ar-EG"/>
        </w:rPr>
        <w:t>Both TIMI score and GRACE RS didn't demonstrate better discrimination than CHA2DS2VASc</w:t>
      </w:r>
      <w:r>
        <w:rPr>
          <w:rFonts w:ascii="Times New Roman" w:eastAsia="Calibri" w:hAnsi="Times New Roman" w:cs="Times New Roman"/>
          <w:lang w:bidi="ar-EG"/>
        </w:rPr>
        <w:t xml:space="preserve"> risk score</w:t>
      </w:r>
      <w:r w:rsidRPr="00CF7748">
        <w:rPr>
          <w:rFonts w:ascii="Times New Roman" w:eastAsia="Calibri" w:hAnsi="Times New Roman" w:cs="Times New Roman"/>
          <w:lang w:bidi="ar-EG"/>
        </w:rPr>
        <w:t xml:space="preserve"> in predicting in-hospital, 3-month and 6-month MACE. </w:t>
      </w:r>
    </w:p>
    <w:p w:rsidR="00D200F6" w:rsidRPr="00CF7748" w:rsidRDefault="00D200F6" w:rsidP="00D200F6">
      <w:pPr>
        <w:spacing w:line="360" w:lineRule="auto"/>
        <w:ind w:right="-242"/>
        <w:jc w:val="both"/>
        <w:rPr>
          <w:rFonts w:ascii="Times New Roman" w:eastAsia="Calibri" w:hAnsi="Times New Roman" w:cs="Times New Roman"/>
          <w:lang w:bidi="ar-EG"/>
        </w:rPr>
      </w:pPr>
      <w:r w:rsidRPr="00A44760">
        <w:rPr>
          <w:rFonts w:ascii="Arial" w:eastAsia="Calibri" w:hAnsi="Arial" w:cs="Arial"/>
          <w:b/>
          <w:bCs/>
          <w:sz w:val="24"/>
          <w:szCs w:val="24"/>
          <w:lang w:bidi="ar-EG"/>
        </w:rPr>
        <w:t>Conclusion:</w:t>
      </w:r>
      <w:r w:rsidRPr="00CF7748">
        <w:rPr>
          <w:rFonts w:asciiTheme="majorBidi" w:eastAsia="Calibri" w:hAnsiTheme="majorBidi" w:cstheme="majorBidi"/>
        </w:rPr>
        <w:t xml:space="preserve"> </w:t>
      </w:r>
      <w:r>
        <w:rPr>
          <w:rFonts w:ascii="Times New Roman" w:eastAsia="Calibri" w:hAnsi="Times New Roman" w:cs="Times New Roman"/>
          <w:lang w:bidi="ar-EG"/>
        </w:rPr>
        <w:t>O</w:t>
      </w:r>
      <w:r w:rsidRPr="00CF7748">
        <w:rPr>
          <w:rFonts w:ascii="Times New Roman" w:eastAsia="Calibri" w:hAnsi="Times New Roman" w:cs="Times New Roman"/>
          <w:lang w:bidi="ar-EG"/>
        </w:rPr>
        <w:t xml:space="preserve">ur study demonstrates that CHA2DS2VASc score is an independent predictor for short-term prognosis in STEMI patients and can be used as a risk-stratification system in STEMI patients irrespective of method of treatment. </w:t>
      </w:r>
    </w:p>
    <w:p w:rsidR="002350BC" w:rsidRPr="00D200F6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D200F6" w:rsidRDefault="0028059F" w:rsidP="00D200F6">
      <w:pPr>
        <w:spacing w:line="360" w:lineRule="auto"/>
        <w:jc w:val="both"/>
        <w:rPr>
          <w:rFonts w:asciiTheme="majorBidi" w:hAnsiTheme="majorBidi" w:cstheme="majorBidi"/>
          <w:lang w:bidi="ar-EG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D200F6" w:rsidRPr="00D200F6">
        <w:rPr>
          <w:rFonts w:asciiTheme="majorBidi" w:hAnsiTheme="majorBidi" w:cstheme="majorBidi"/>
          <w:lang w:bidi="ar-EG"/>
        </w:rPr>
        <w:t xml:space="preserve"> </w:t>
      </w:r>
      <w:r w:rsidR="00D200F6" w:rsidRPr="00CF7748">
        <w:rPr>
          <w:rFonts w:asciiTheme="majorBidi" w:hAnsiTheme="majorBidi" w:cstheme="majorBidi"/>
          <w:lang w:bidi="ar-EG"/>
        </w:rPr>
        <w:t>CHA2DS2VASc score, MACE, cardiovascular death, non-fatal MI</w:t>
      </w:r>
      <w:r w:rsidR="00D200F6">
        <w:rPr>
          <w:rFonts w:asciiTheme="majorBidi" w:hAnsiTheme="majorBidi" w:cstheme="majorBidi"/>
          <w:lang w:bidi="ar-EG"/>
        </w:rPr>
        <w:t>.</w:t>
      </w:r>
    </w:p>
    <w:p w:rsidR="0028059F" w:rsidRPr="00D200F6" w:rsidRDefault="0028059F" w:rsidP="00D200F6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0D7E9E" w:rsidRPr="005B6827" w:rsidRDefault="000D7E9E" w:rsidP="000D7E9E">
      <w:pPr>
        <w:rPr>
          <w:b/>
          <w:bCs/>
          <w:sz w:val="28"/>
          <w:szCs w:val="28"/>
        </w:rPr>
      </w:pPr>
      <w:r w:rsidRPr="005B6827">
        <w:rPr>
          <w:b/>
          <w:bCs/>
          <w:sz w:val="28"/>
          <w:szCs w:val="28"/>
        </w:rPr>
        <w:t xml:space="preserve">Corresponding author: </w:t>
      </w:r>
    </w:p>
    <w:p w:rsidR="000D7E9E" w:rsidRDefault="000D7E9E" w:rsidP="000D7E9E">
      <w:pPr>
        <w:rPr>
          <w:sz w:val="28"/>
          <w:szCs w:val="28"/>
        </w:rPr>
      </w:pPr>
      <w:r>
        <w:rPr>
          <w:sz w:val="28"/>
          <w:szCs w:val="28"/>
        </w:rPr>
        <w:t>Hamdy Shamseddin Mohammad</w:t>
      </w:r>
    </w:p>
    <w:p w:rsidR="000D7E9E" w:rsidRDefault="000D7E9E" w:rsidP="000D7E9E">
      <w:pPr>
        <w:rPr>
          <w:sz w:val="28"/>
          <w:szCs w:val="28"/>
        </w:rPr>
      </w:pPr>
      <w:r>
        <w:rPr>
          <w:sz w:val="28"/>
          <w:szCs w:val="28"/>
        </w:rPr>
        <w:t>Assistant professor of cardiology, Assiut University Cardiac Hospital,</w:t>
      </w:r>
    </w:p>
    <w:p w:rsidR="000D7E9E" w:rsidRDefault="000D7E9E" w:rsidP="000D7E9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Faculty of medicine, </w:t>
      </w:r>
      <w:r w:rsidRPr="005B6827">
        <w:rPr>
          <w:sz w:val="28"/>
          <w:szCs w:val="28"/>
        </w:rPr>
        <w:t>Assiut</w:t>
      </w:r>
      <w:r>
        <w:rPr>
          <w:sz w:val="28"/>
          <w:szCs w:val="28"/>
        </w:rPr>
        <w:t xml:space="preserve"> University</w:t>
      </w:r>
      <w:r w:rsidRPr="005B6827">
        <w:rPr>
          <w:sz w:val="28"/>
          <w:szCs w:val="28"/>
        </w:rPr>
        <w:t>, Assiut, Egypt</w:t>
      </w:r>
      <w:r>
        <w:rPr>
          <w:sz w:val="28"/>
          <w:szCs w:val="28"/>
        </w:rPr>
        <w:t>.</w:t>
      </w:r>
      <w:proofErr w:type="gramEnd"/>
    </w:p>
    <w:p w:rsidR="000D7E9E" w:rsidRPr="005B6827" w:rsidRDefault="000D7E9E" w:rsidP="000D7E9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Member of both Egyptian and European Societies of Cardiology.</w:t>
      </w:r>
      <w:proofErr w:type="gramEnd"/>
    </w:p>
    <w:p w:rsidR="000D7E9E" w:rsidRPr="005B6827" w:rsidRDefault="000D7E9E" w:rsidP="000D7E9E">
      <w:pPr>
        <w:rPr>
          <w:sz w:val="28"/>
          <w:szCs w:val="28"/>
        </w:rPr>
      </w:pPr>
      <w:r w:rsidRPr="005B6827">
        <w:rPr>
          <w:sz w:val="28"/>
          <w:szCs w:val="28"/>
        </w:rPr>
        <w:t>002/01</w:t>
      </w:r>
      <w:r>
        <w:rPr>
          <w:sz w:val="28"/>
          <w:szCs w:val="28"/>
        </w:rPr>
        <w:t>065601161</w:t>
      </w:r>
    </w:p>
    <w:p w:rsidR="000D7E9E" w:rsidRPr="005B6827" w:rsidRDefault="000D7E9E" w:rsidP="000D7E9E">
      <w:pPr>
        <w:rPr>
          <w:sz w:val="28"/>
          <w:szCs w:val="28"/>
        </w:rPr>
      </w:pPr>
      <w:r>
        <w:rPr>
          <w:sz w:val="28"/>
          <w:szCs w:val="28"/>
        </w:rPr>
        <w:t>ashams98@yahoo</w:t>
      </w:r>
      <w:r w:rsidRPr="005B6827">
        <w:rPr>
          <w:sz w:val="28"/>
          <w:szCs w:val="28"/>
        </w:rPr>
        <w:t>.com</w:t>
      </w:r>
    </w:p>
    <w:p w:rsidR="00B3082B" w:rsidRDefault="000D7E9E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0D7E9E">
        <w:rPr>
          <w:noProof/>
          <w:lang w:val="en-US"/>
        </w:rPr>
        <w:drawing>
          <wp:inline distT="0" distB="0" distL="0" distR="0">
            <wp:extent cx="2616835" cy="2544020"/>
            <wp:effectExtent l="19050" t="0" r="0" b="0"/>
            <wp:docPr id="1" name="Picture 1" descr="C:\Users\laptop market\Documents\Candidates\Mahdy Paper final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ptop market\Documents\Candidates\Mahdy Paper final\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254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B90FE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228" w:rsidRDefault="00F41228" w:rsidP="00495C76">
      <w:pPr>
        <w:spacing w:after="0" w:line="240" w:lineRule="auto"/>
      </w:pPr>
      <w:r>
        <w:separator/>
      </w:r>
    </w:p>
  </w:endnote>
  <w:endnote w:type="continuationSeparator" w:id="0">
    <w:p w:rsidR="00F41228" w:rsidRDefault="00F4122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228" w:rsidRDefault="00F41228" w:rsidP="00495C76">
      <w:pPr>
        <w:spacing w:after="0" w:line="240" w:lineRule="auto"/>
      </w:pPr>
      <w:r>
        <w:separator/>
      </w:r>
    </w:p>
  </w:footnote>
  <w:footnote w:type="continuationSeparator" w:id="0">
    <w:p w:rsidR="00F41228" w:rsidRDefault="00F4122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0D7E9E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90FE2"/>
    <w:rsid w:val="00BA654F"/>
    <w:rsid w:val="00CE511D"/>
    <w:rsid w:val="00D200F6"/>
    <w:rsid w:val="00DF04E3"/>
    <w:rsid w:val="00F41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F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laptop market</cp:lastModifiedBy>
  <cp:revision>10</cp:revision>
  <dcterms:created xsi:type="dcterms:W3CDTF">2017-03-28T12:12:00Z</dcterms:created>
  <dcterms:modified xsi:type="dcterms:W3CDTF">2018-10-30T06:25:00Z</dcterms:modified>
</cp:coreProperties>
</file>