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B44359" w:rsidP="00494130">
      <w:pPr>
        <w:pStyle w:val="Heading1"/>
        <w:spacing w:before="170"/>
        <w:ind w:left="0"/>
      </w:pPr>
      <w:r w:rsidRPr="00B44359">
        <w:rPr>
          <w:color w:val="337AB7"/>
        </w:rPr>
        <w:t>Estrogen receptor alpha and antioxidants in papillary thyroid cancer</w:t>
      </w:r>
      <w:r>
        <w:rPr>
          <w:color w:val="337AB7"/>
        </w:rPr>
        <w:t xml:space="preserve"> </w:t>
      </w:r>
    </w:p>
    <w:p w:rsidR="005973B9" w:rsidRDefault="00B44359" w:rsidP="00B44359">
      <w:pPr>
        <w:pStyle w:val="BodyText"/>
        <w:spacing w:before="73" w:line="198" w:lineRule="exact"/>
        <w:ind w:left="100" w:right="5987"/>
        <w:rPr>
          <w:rFonts w:ascii="Arial"/>
        </w:rPr>
      </w:pPr>
      <w:r w:rsidRPr="00B44359">
        <w:rPr>
          <w:rFonts w:ascii="Arial"/>
        </w:rPr>
        <w:t>George G Chen, Sangsang Wang, Lingbin Xue, Dahau Fan, Mingyue Li, Alexander C Vlantis, Jason Chan, Siu Kwan Ng, Shirley YW Liu, Enders KW Ng, C Andrew van Hasselt, Michael CF Tong. Faculty of Medicine, The Chinese University of Hong Kong, Prin</w:t>
      </w:r>
      <w:r>
        <w:rPr>
          <w:rFonts w:ascii="Arial"/>
        </w:rPr>
        <w:t>ce of Wales Hospital</w:t>
      </w:r>
      <w:r w:rsidRPr="00B44359">
        <w:rPr>
          <w:rFonts w:ascii="Arial"/>
        </w:rPr>
        <w:t>, Hong Kong, China.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B44359" w:rsidRDefault="00B44359" w:rsidP="00B44359">
      <w:pPr>
        <w:pStyle w:val="BodyText"/>
        <w:spacing w:before="90" w:line="280" w:lineRule="auto"/>
        <w:ind w:left="100"/>
        <w:jc w:val="both"/>
      </w:pPr>
      <w:r>
        <w:t xml:space="preserve">The incidence of papillary thyroid cancer (PTC) is dominant in female, suggesting a role of sex hormones in its development. Increasing data have shown that estrogen receptor alpha (ERa) has a positive role in the growth/progression of PTC.  Antioxidants are a buffering system to control the activity/level of reactive oxygen species (ROS), the role of which is debatable in PTC. The relationship between ERa and ROS remains elusive in PTC. In this study, we confirmed that the expression of ERa was increased in PTC tissue samples, compared with non-tumor thyroid tissues and that estrogen (E2) treatment could significantly stimulate the expression of ERa. We demonstrated that E2-mediated ERa elevation accompanied the upregulation of intracellular ROS measured by the oxidation-sensitive probe DCFH-DA. Furthermore, we found that the level of antioxidants including manganese superoxide dismutase (MnSOD), thioredoxin reductase 2 (TXNRD2), glutathione (GSH), and glutathione peroxidase (Gpx) were increased in PTC tissue samples. In cell cultures, PTC cells treated with hydrogen peroxide (H2O2), a well-known source of ROS, markedly upregulated the levels of antioxidants. Since antioxidants functions to control the levels of ROS, thus, our findings suggest that the upregulation of antioxidants is likely a defensive deployment against the surge of ROS.  </w:t>
      </w:r>
    </w:p>
    <w:p w:rsidR="008A7674" w:rsidRPr="00B44359" w:rsidRDefault="00B44359" w:rsidP="00B44359">
      <w:pPr>
        <w:pStyle w:val="BodyText"/>
        <w:spacing w:before="90" w:line="280" w:lineRule="auto"/>
        <w:ind w:left="100"/>
        <w:jc w:val="both"/>
      </w:pPr>
      <w:r>
        <w:t xml:space="preserve">Conclusion and Significance: PTC is associated with ERa upregulation as well as the increase of ROS. The upregulation of ERa can trigger the production of ROS, which is balanced by antioxidants to maintain the survival and growth of PTC. (This study was supported by a grant from the Research Grants Council of the Hong Kong Special Administrative Region: 14109716). </w:t>
      </w:r>
    </w:p>
    <w:p w:rsidR="005973B9" w:rsidRDefault="005973B9" w:rsidP="005973B9">
      <w:pPr>
        <w:spacing w:line="204" w:lineRule="exact"/>
        <w:rPr>
          <w:rFonts w:ascii="Arial"/>
          <w:b/>
          <w:sz w:val="20"/>
        </w:rPr>
      </w:pPr>
      <w:r>
        <w:rPr>
          <w:rFonts w:ascii="Arial"/>
          <w:b/>
          <w:color w:val="BF5A14"/>
          <w:sz w:val="20"/>
        </w:rPr>
        <w:br/>
        <w:t xml:space="preserve">Recent Publications </w:t>
      </w:r>
    </w:p>
    <w:p w:rsidR="004A54B2" w:rsidRPr="00E67B1C" w:rsidRDefault="00E67B1C" w:rsidP="00E67B1C">
      <w:pPr>
        <w:tabs>
          <w:tab w:val="left" w:pos="384"/>
        </w:tabs>
        <w:ind w:right="117"/>
        <w:jc w:val="both"/>
        <w:rPr>
          <w:rFonts w:ascii="Calibri" w:eastAsia="Calibri" w:hAnsi="Calibri" w:cs="Calibri"/>
          <w:bCs/>
          <w:sz w:val="18"/>
          <w:lang w:val="en-GB"/>
        </w:rPr>
      </w:pPr>
      <w:r w:rsidRPr="00E67B1C">
        <w:rPr>
          <w:rFonts w:ascii="Calibri" w:eastAsia="Calibri" w:hAnsi="Calibri" w:cs="Calibri"/>
          <w:bCs/>
          <w:sz w:val="18"/>
          <w:lang w:val="en-GB"/>
        </w:rPr>
        <w:t>Wang S, Wu J, Ren J, Vlantis AC, Li MY, Liu SYW, Ng EKW, Chan ABW, Luo DC, Liu Z, Guo W, Xue L, Ng SK, van Hasselt CA, Tong MCF, Chen GG. MicroRNA-125b Interacts with Foxp3 to Induce Autophagy in Thyroid Cancer.  Mol Ther. 2018 Sep 5;26(9):2295-2303.</w:t>
      </w:r>
    </w:p>
    <w:p w:rsidR="00E67B1C" w:rsidRPr="00E67B1C" w:rsidRDefault="00E67B1C" w:rsidP="00E67B1C">
      <w:pPr>
        <w:tabs>
          <w:tab w:val="left" w:pos="384"/>
        </w:tabs>
        <w:ind w:right="117"/>
        <w:jc w:val="both"/>
        <w:rPr>
          <w:rFonts w:ascii="Calibri" w:eastAsia="Calibri" w:hAnsi="Calibri" w:cs="Calibri"/>
          <w:sz w:val="18"/>
          <w:lang w:val="en-GB"/>
        </w:rPr>
      </w:pPr>
    </w:p>
    <w:p w:rsidR="004A54B2" w:rsidRPr="00E67B1C" w:rsidRDefault="00E67B1C" w:rsidP="00E67B1C">
      <w:pPr>
        <w:tabs>
          <w:tab w:val="left" w:pos="384"/>
        </w:tabs>
        <w:ind w:right="117"/>
        <w:jc w:val="both"/>
        <w:rPr>
          <w:rFonts w:ascii="Calibri" w:eastAsia="Calibri" w:hAnsi="Calibri" w:cs="Calibri"/>
          <w:bCs/>
          <w:sz w:val="18"/>
          <w:lang w:val="en-GB"/>
        </w:rPr>
      </w:pPr>
      <w:r w:rsidRPr="00E67B1C">
        <w:rPr>
          <w:rFonts w:ascii="Calibri" w:eastAsia="Calibri" w:hAnsi="Calibri" w:cs="Calibri"/>
          <w:bCs/>
          <w:sz w:val="18"/>
          <w:lang w:val="en-GB"/>
        </w:rPr>
        <w:t>Dai YJ, Qiu YB, Jiang R, Xu M, Zhao L, Chen GG, Liu ZM.  Concomitant high expression of ERα36, EGFR and HER2 is associated with aggressive behaviors of papillary thyroid carcinomas.  Sci Rep. 2017 Sep 25;7(1):12279.</w:t>
      </w:r>
    </w:p>
    <w:p w:rsidR="00E67B1C" w:rsidRPr="00E67B1C" w:rsidRDefault="00E67B1C" w:rsidP="00E67B1C">
      <w:pPr>
        <w:tabs>
          <w:tab w:val="left" w:pos="384"/>
        </w:tabs>
        <w:ind w:right="117"/>
        <w:jc w:val="both"/>
        <w:rPr>
          <w:rFonts w:ascii="Calibri" w:eastAsia="Calibri" w:hAnsi="Calibri" w:cs="Calibri"/>
          <w:sz w:val="18"/>
          <w:lang w:val="en-GB"/>
        </w:rPr>
      </w:pPr>
    </w:p>
    <w:p w:rsidR="004A54B2" w:rsidRPr="00E67B1C" w:rsidRDefault="00E67B1C" w:rsidP="00E67B1C">
      <w:pPr>
        <w:tabs>
          <w:tab w:val="left" w:pos="384"/>
        </w:tabs>
        <w:ind w:right="117"/>
        <w:jc w:val="both"/>
        <w:rPr>
          <w:rFonts w:ascii="Calibri" w:eastAsia="Calibri" w:hAnsi="Calibri" w:cs="Calibri"/>
          <w:bCs/>
          <w:sz w:val="18"/>
          <w:lang w:val="en-GB"/>
        </w:rPr>
      </w:pPr>
      <w:r w:rsidRPr="00E67B1C">
        <w:rPr>
          <w:rFonts w:ascii="Calibri" w:eastAsia="Calibri" w:hAnsi="Calibri" w:cs="Calibri"/>
          <w:bCs/>
          <w:sz w:val="18"/>
          <w:lang w:val="en-GB"/>
        </w:rPr>
        <w:t>Zhu P, Liao LY, Zhao TT, Mo XM, Chen GG, Liu ZM. GPER/ERK&amp;AKT/NF-κB pathway is involved in cadmium-induced proliferation, invasion and migration of GPER-positive thyroid cancer cells.  Mol Cell Endocrinol. 2017 Feb 15;442:68-80.</w:t>
      </w:r>
    </w:p>
    <w:p w:rsidR="00E67B1C" w:rsidRPr="00E67B1C" w:rsidRDefault="00E67B1C" w:rsidP="00E67B1C">
      <w:pPr>
        <w:tabs>
          <w:tab w:val="left" w:pos="384"/>
        </w:tabs>
        <w:ind w:right="117"/>
        <w:jc w:val="both"/>
        <w:rPr>
          <w:rFonts w:ascii="Calibri" w:eastAsia="Calibri" w:hAnsi="Calibri" w:cs="Calibri"/>
          <w:sz w:val="18"/>
          <w:lang w:val="en-GB"/>
        </w:rPr>
      </w:pPr>
    </w:p>
    <w:p w:rsidR="00E67B1C" w:rsidRPr="00E67B1C" w:rsidRDefault="00E67B1C" w:rsidP="00E67B1C">
      <w:pPr>
        <w:tabs>
          <w:tab w:val="left" w:pos="384"/>
        </w:tabs>
        <w:ind w:right="117"/>
        <w:jc w:val="both"/>
        <w:rPr>
          <w:rFonts w:ascii="Calibri" w:eastAsia="Calibri" w:hAnsi="Calibri" w:cs="Calibri"/>
          <w:bCs/>
          <w:sz w:val="18"/>
          <w:lang w:val="en-GB"/>
        </w:rPr>
      </w:pPr>
      <w:r w:rsidRPr="00E67B1C">
        <w:rPr>
          <w:rFonts w:ascii="Calibri" w:eastAsia="Calibri" w:hAnsi="Calibri" w:cs="Calibri"/>
          <w:bCs/>
          <w:sz w:val="18"/>
          <w:lang w:val="en-GB"/>
        </w:rPr>
        <w:t>Mo XM, Li L, Zhu P, Dai YJ, Zhao TT, Liao LY, Chen GG, Liu ZM. Up-regulation of Hsp27 by ERα/Sp1 facilitates proliferation and confers resistance to apoptosis in human papillary thyroid cancer cells. Mol Cell Endocrinol. 2016 Aug 15;431:71-87.</w:t>
      </w:r>
    </w:p>
    <w:p w:rsidR="00AE3E37" w:rsidRPr="00E67B1C" w:rsidRDefault="004A54B2" w:rsidP="00E67B1C">
      <w:pPr>
        <w:tabs>
          <w:tab w:val="left" w:pos="384"/>
        </w:tabs>
        <w:ind w:right="117"/>
        <w:jc w:val="both"/>
      </w:pPr>
      <w:r w:rsidRPr="00E67B1C">
        <w:rPr>
          <w:rFonts w:ascii="Calibri" w:eastAsia="Calibri" w:hAnsi="Calibri" w:cs="Calibri"/>
          <w:sz w:val="18"/>
          <w:lang w:val="en-GB"/>
        </w:rPr>
        <w:br/>
      </w:r>
      <w:r w:rsidR="00E67B1C" w:rsidRPr="00E67B1C">
        <w:rPr>
          <w:rFonts w:ascii="Calibri" w:eastAsia="Calibri" w:hAnsi="Calibri" w:cs="Calibri"/>
          <w:bCs/>
          <w:sz w:val="18"/>
          <w:lang w:val="en-GB"/>
        </w:rPr>
        <w:t>Zhao L, Zhu XY, Jiang R, Xu M, Wang N, Chen GG, Liu ZM. Role of GPER1, EGFR and CXCR1 in differentiating between malignant follicular thyroid carcinoma and benign follicular thyroid adenoma.  Int J Clin Exp Patho. 2015 Sep 1;8(9):11236-47.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E67B1C">
      <w:pPr>
        <w:pStyle w:val="BodyText"/>
        <w:spacing w:line="40" w:lineRule="exact"/>
        <w:ind w:left="2202"/>
        <w:rPr>
          <w:rFonts w:ascii="Calibri"/>
          <w:sz w:val="4"/>
        </w:rPr>
      </w:pPr>
      <w:r>
        <w:rPr>
          <w:noProof/>
          <w:lang w:eastAsia="zh-CN"/>
        </w:rPr>
        <mc:AlternateContent>
          <mc:Choice Requires="wpg">
            <w:drawing>
              <wp:inline distT="0" distB="0" distL="0" distR="0">
                <wp:extent cx="3975735" cy="25400"/>
                <wp:effectExtent l="0" t="0" r="571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49F02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67B1C" w:rsidRPr="000439C8">
        <w:rPr>
          <w:noProof/>
          <w:lang w:eastAsia="zh-CN"/>
        </w:rPr>
        <w:drawing>
          <wp:inline distT="0" distB="0" distL="0" distR="0">
            <wp:extent cx="629285" cy="621665"/>
            <wp:effectExtent l="0" t="0" r="0" b="6985"/>
            <wp:docPr id="2" name="Picture 5"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9285" cy="62166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E67B1C" w:rsidRDefault="00E67B1C">
      <w:pPr>
        <w:spacing w:before="41" w:line="154" w:lineRule="exact"/>
        <w:ind w:left="213" w:right="231"/>
        <w:jc w:val="both"/>
        <w:rPr>
          <w:rFonts w:ascii="Arial"/>
          <w:sz w:val="14"/>
        </w:rPr>
      </w:pPr>
      <w:r w:rsidRPr="00E67B1C">
        <w:rPr>
          <w:rFonts w:ascii="Arial"/>
          <w:sz w:val="14"/>
        </w:rPr>
        <w:t>George G Chen is a professor in the Department of Surgery, Director of Surgical Laboratories, Faculty of Medicine, the Chinese University of Hong Kong, China.  He has extensive experience in cancer research. He has authored or co-authored more than 220 papers and has written a number of books or book chapters, with Web of Science Core Collection h-index: 33 and Google Scholar h-index: 41.</w:t>
      </w:r>
    </w:p>
    <w:p w:rsidR="00AE3E37" w:rsidRDefault="00A9710C">
      <w:pPr>
        <w:spacing w:before="62"/>
        <w:ind w:left="4217" w:right="4235"/>
        <w:jc w:val="center"/>
        <w:rPr>
          <w:rFonts w:ascii="Arial"/>
          <w:sz w:val="14"/>
        </w:rPr>
      </w:pPr>
      <w:r>
        <w:rPr>
          <w:rFonts w:ascii="Arial"/>
          <w:sz w:val="14"/>
        </w:rPr>
        <w:t xml:space="preserve">Email: </w:t>
      </w:r>
      <w:r w:rsidR="00E67B1C">
        <w:rPr>
          <w:rStyle w:val="Hyperlink"/>
          <w:rFonts w:ascii="Arial"/>
          <w:sz w:val="14"/>
        </w:rPr>
        <w:t>gchen@cuhk.edu.hk</w:t>
      </w:r>
    </w:p>
    <w:p w:rsidR="00AE3E37" w:rsidRDefault="00E67B1C">
      <w:pPr>
        <w:pStyle w:val="BodyText"/>
        <w:spacing w:before="2"/>
        <w:rPr>
          <w:rFonts w:ascii="Arial"/>
          <w:sz w:val="19"/>
        </w:rPr>
      </w:pPr>
      <w:r>
        <w:rPr>
          <w:noProof/>
          <w:lang w:eastAsia="zh-CN"/>
        </w:rPr>
        <mc:AlternateContent>
          <mc:Choice Requires="wps">
            <w:drawing>
              <wp:anchor distT="4294967295" distB="4294967295" distL="0" distR="0" simplePos="0" relativeHeight="251657216"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024BB9" id="Line 3" o:spid="_x0000_s1026" style="position:absolute;z-index:2516572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1D28" w:rsidRDefault="00511D28">
      <w:r>
        <w:separator/>
      </w:r>
    </w:p>
  </w:endnote>
  <w:endnote w:type="continuationSeparator" w:id="0">
    <w:p w:rsidR="00511D28" w:rsidRDefault="00511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ËÎÌå"/>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E67B1C">
    <w:pPr>
      <w:pStyle w:val="BodyText"/>
      <w:spacing w:line="14" w:lineRule="auto"/>
      <w:rPr>
        <w:sz w:val="20"/>
      </w:rPr>
    </w:pPr>
    <w:r>
      <w:rPr>
        <w:noProof/>
        <w:lang w:eastAsia="zh-CN"/>
      </w:rPr>
      <mc:AlternateContent>
        <mc:Choice Requires="wps">
          <w:drawing>
            <wp:anchor distT="0" distB="0" distL="114300" distR="114300" simplePos="0" relativeHeight="2516577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2516587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2516597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1D28" w:rsidRDefault="00511D28">
      <w:r>
        <w:separator/>
      </w:r>
    </w:p>
  </w:footnote>
  <w:footnote w:type="continuationSeparator" w:id="0">
    <w:p w:rsidR="00511D28" w:rsidRDefault="00511D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E67B1C">
    <w:pPr>
      <w:pStyle w:val="BodyText"/>
      <w:spacing w:line="14" w:lineRule="auto"/>
      <w:rPr>
        <w:sz w:val="20"/>
      </w:rPr>
    </w:pPr>
    <w:r>
      <w:rPr>
        <w:noProof/>
        <w:lang w:eastAsia="zh-CN"/>
      </w:rPr>
      <mc:AlternateContent>
        <mc:Choice Requires="wps">
          <w:drawing>
            <wp:anchor distT="0" distB="0" distL="114300" distR="114300" simplePos="0" relativeHeight="2516556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2">
                      <w:r w:rsidRPr="00227290">
                        <w:rPr>
                          <w:rFonts w:ascii="Arial"/>
                          <w:color w:val="FFFFFF"/>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D75CF"/>
    <w:rsid w:val="00227290"/>
    <w:rsid w:val="00292ED9"/>
    <w:rsid w:val="00404E5B"/>
    <w:rsid w:val="00414F7B"/>
    <w:rsid w:val="004355DC"/>
    <w:rsid w:val="004749B4"/>
    <w:rsid w:val="00494130"/>
    <w:rsid w:val="004A54B2"/>
    <w:rsid w:val="004F3523"/>
    <w:rsid w:val="00511D28"/>
    <w:rsid w:val="00572DCD"/>
    <w:rsid w:val="005973B9"/>
    <w:rsid w:val="005B3A56"/>
    <w:rsid w:val="006060CE"/>
    <w:rsid w:val="00616C38"/>
    <w:rsid w:val="0063497F"/>
    <w:rsid w:val="007B0EBB"/>
    <w:rsid w:val="00873DF0"/>
    <w:rsid w:val="008756E6"/>
    <w:rsid w:val="008A7674"/>
    <w:rsid w:val="009B2D44"/>
    <w:rsid w:val="00A07E82"/>
    <w:rsid w:val="00A9710C"/>
    <w:rsid w:val="00AE3E37"/>
    <w:rsid w:val="00B21A57"/>
    <w:rsid w:val="00B44359"/>
    <w:rsid w:val="00C33602"/>
    <w:rsid w:val="00C938CB"/>
    <w:rsid w:val="00CD6F55"/>
    <w:rsid w:val="00DC7620"/>
    <w:rsid w:val="00DE3104"/>
    <w:rsid w:val="00E67B1C"/>
    <w:rsid w:val="00EF6537"/>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CDF571A-E610-4035-BA81-891AC5CD5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Gautam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pPr>
      <w:widowControl w:val="0"/>
    </w:pPr>
    <w:rPr>
      <w:rFonts w:ascii="Tw Cen MT" w:eastAsia="Tw Cen MT" w:hAnsi="Tw Cen MT" w:cs="Tw Cen MT"/>
      <w:sz w:val="22"/>
      <w:szCs w:val="22"/>
      <w:lang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3783</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Nat</cp:lastModifiedBy>
  <cp:revision>2</cp:revision>
  <dcterms:created xsi:type="dcterms:W3CDTF">2018-12-09T09:50:00Z</dcterms:created>
  <dcterms:modified xsi:type="dcterms:W3CDTF">2018-12-09T09:50:00Z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