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9FFE5" w14:textId="6E97043C" w:rsidR="002811B7" w:rsidRDefault="002811B7" w:rsidP="002811B7">
      <w:pPr>
        <w:pStyle w:val="Ttulo1"/>
        <w:spacing w:before="0"/>
        <w:rPr>
          <w:rStyle w:val="title-text"/>
          <w:rFonts w:ascii="Georgia" w:hAnsi="Georgia"/>
          <w:b w:val="0"/>
          <w:bCs w:val="0"/>
          <w:color w:val="505050"/>
        </w:rPr>
      </w:pPr>
      <w:r>
        <w:rPr>
          <w:rStyle w:val="title-text"/>
          <w:rFonts w:ascii="Georgia" w:hAnsi="Georgia"/>
          <w:b w:val="0"/>
          <w:bCs w:val="0"/>
          <w:color w:val="505050"/>
        </w:rPr>
        <w:t>Role of dietary edible mushrooms in the modulation of gut microbiota</w:t>
      </w:r>
    </w:p>
    <w:p w14:paraId="328A5215" w14:textId="77777777" w:rsidR="002811B7" w:rsidRDefault="002811B7" w:rsidP="002811B7">
      <w:pPr>
        <w:pStyle w:val="Ttulo1"/>
        <w:spacing w:before="0"/>
        <w:rPr>
          <w:rFonts w:ascii="Georgia" w:eastAsia="Times New Roman" w:hAnsi="Georgia" w:cs="Times New Roman"/>
          <w:b w:val="0"/>
          <w:bCs w:val="0"/>
          <w:color w:val="505050"/>
        </w:rPr>
      </w:pPr>
    </w:p>
    <w:p w14:paraId="633A691C" w14:textId="77777777" w:rsidR="002811B7" w:rsidRPr="0037233A" w:rsidRDefault="002811B7" w:rsidP="002811B7">
      <w:pPr>
        <w:ind w:right="61"/>
        <w:jc w:val="center"/>
        <w:rPr>
          <w:lang w:val="es-AR"/>
        </w:rPr>
      </w:pPr>
      <w:r w:rsidRPr="0037233A">
        <w:rPr>
          <w:rFonts w:ascii="Calibri" w:eastAsia="Calibri" w:hAnsi="Calibri" w:cs="Calibri"/>
          <w:b/>
          <w:sz w:val="24"/>
          <w:lang w:val="es-AR"/>
        </w:rPr>
        <w:t xml:space="preserve">Alicia Cobos </w:t>
      </w:r>
    </w:p>
    <w:p w14:paraId="52DF4DB5" w14:textId="77777777" w:rsidR="002811B7" w:rsidRPr="00703C2D" w:rsidRDefault="002811B7" w:rsidP="002811B7">
      <w:pPr>
        <w:ind w:left="299"/>
        <w:jc w:val="center"/>
        <w:rPr>
          <w:sz w:val="20"/>
          <w:szCs w:val="20"/>
          <w:lang w:val="es-AR"/>
        </w:rPr>
      </w:pPr>
      <w:r w:rsidRPr="00703C2D">
        <w:rPr>
          <w:rFonts w:ascii="Calibri" w:eastAsia="Calibri" w:hAnsi="Calibri" w:cs="Calibri"/>
          <w:sz w:val="20"/>
          <w:szCs w:val="20"/>
          <w:vertAlign w:val="superscript"/>
          <w:lang w:val="es-AR"/>
        </w:rPr>
        <w:t>1</w:t>
      </w:r>
      <w:r w:rsidRPr="00703C2D">
        <w:rPr>
          <w:rFonts w:ascii="Calibri" w:eastAsia="Calibri" w:hAnsi="Calibri" w:cs="Calibri"/>
          <w:sz w:val="20"/>
          <w:szCs w:val="20"/>
          <w:lang w:val="es-AR"/>
        </w:rPr>
        <w:t xml:space="preserve">Nutricuantica </w:t>
      </w:r>
      <w:proofErr w:type="spellStart"/>
      <w:r w:rsidRPr="00703C2D">
        <w:rPr>
          <w:rFonts w:ascii="Calibri" w:eastAsia="Calibri" w:hAnsi="Calibri" w:cs="Calibri"/>
          <w:sz w:val="20"/>
          <w:szCs w:val="20"/>
          <w:lang w:val="es-AR"/>
        </w:rPr>
        <w:t>organisation</w:t>
      </w:r>
      <w:proofErr w:type="spellEnd"/>
      <w:r w:rsidRPr="00703C2D">
        <w:rPr>
          <w:rFonts w:ascii="Calibri" w:eastAsia="Calibri" w:hAnsi="Calibri" w:cs="Calibri"/>
          <w:sz w:val="20"/>
          <w:szCs w:val="20"/>
          <w:lang w:val="es-AR"/>
        </w:rPr>
        <w:t xml:space="preserve">, Patagonia, Argentina.  </w:t>
      </w:r>
    </w:p>
    <w:p w14:paraId="3AC5E7FF" w14:textId="3FCD206C" w:rsidR="00AE3E37" w:rsidRPr="00703C2D" w:rsidRDefault="00AE3E37">
      <w:pPr>
        <w:pStyle w:val="Textoindependiente"/>
        <w:rPr>
          <w:rFonts w:ascii="Arial"/>
          <w:sz w:val="20"/>
          <w:szCs w:val="20"/>
          <w:lang w:val="es-AR"/>
        </w:rPr>
      </w:pPr>
    </w:p>
    <w:p w14:paraId="5561E9CB" w14:textId="77777777" w:rsidR="00AE3E37" w:rsidRPr="00703C2D" w:rsidRDefault="00AE3E37">
      <w:pPr>
        <w:pStyle w:val="Textoindependiente"/>
        <w:spacing w:before="3"/>
        <w:rPr>
          <w:rFonts w:ascii="Arial"/>
          <w:sz w:val="20"/>
          <w:szCs w:val="20"/>
          <w:lang w:val="es-AR"/>
        </w:rPr>
      </w:pPr>
    </w:p>
    <w:p w14:paraId="2852E784" w14:textId="77777777" w:rsidR="00AE3E37" w:rsidRPr="00703C2D" w:rsidRDefault="00AE3E37">
      <w:pPr>
        <w:rPr>
          <w:rFonts w:ascii="Arial"/>
          <w:sz w:val="20"/>
          <w:szCs w:val="20"/>
          <w:lang w:val="es-AR"/>
        </w:rPr>
        <w:sectPr w:rsidR="00AE3E37" w:rsidRPr="00703C2D">
          <w:headerReference w:type="default" r:id="rId7"/>
          <w:footerReference w:type="default" r:id="rId8"/>
          <w:type w:val="continuous"/>
          <w:pgSz w:w="11910" w:h="16840"/>
          <w:pgMar w:top="1740" w:right="600" w:bottom="840" w:left="620" w:header="541" w:footer="642" w:gutter="0"/>
          <w:cols w:space="720"/>
        </w:sectPr>
      </w:pPr>
    </w:p>
    <w:p w14:paraId="0F887378" w14:textId="78BE37A1" w:rsidR="00AE3E37" w:rsidRPr="00703C2D" w:rsidRDefault="00A9710C">
      <w:pPr>
        <w:pStyle w:val="Ttulo3"/>
        <w:spacing w:before="147"/>
        <w:jc w:val="both"/>
      </w:pPr>
      <w:r w:rsidRPr="00703C2D">
        <w:t>Abstract</w:t>
      </w:r>
      <w:r w:rsidR="00404E5B" w:rsidRPr="00703C2D">
        <w:t xml:space="preserve"> </w:t>
      </w:r>
    </w:p>
    <w:p w14:paraId="05F89E2D" w14:textId="2124424B" w:rsidR="005973B9" w:rsidRPr="00703C2D" w:rsidRDefault="002F5D3C" w:rsidP="00EC54A5">
      <w:pPr>
        <w:pStyle w:val="Ttulo3"/>
        <w:spacing w:before="74"/>
      </w:pPr>
      <w:r w:rsidRPr="00703C2D">
        <w:rPr>
          <w:rFonts w:asciiTheme="minorHAnsi" w:eastAsia="Tw Cen MT" w:hAnsiTheme="minorHAnsi" w:cstheme="minorHAnsi"/>
          <w:b w:val="0"/>
          <w:bCs w:val="0"/>
        </w:rPr>
        <w:t xml:space="preserve">Edible mushrooms as valuable health foods have beneficial and health-enhancing effects, and these beneficial activities are related to the modulation of the gut microbiota. In this meeting, we discuss the regulation of the gut microbiota by edible fungi. Ganoderma lucidum increases the Bacteroides/Firmicutes ratio and promotes the growth of bacteria that produce short-chain fatty acids (SCFA) and anti-inflammatories. </w:t>
      </w:r>
      <w:proofErr w:type="spellStart"/>
      <w:r w:rsidRPr="00703C2D">
        <w:rPr>
          <w:rFonts w:asciiTheme="minorHAnsi" w:eastAsia="Tw Cen MT" w:hAnsiTheme="minorHAnsi" w:cstheme="minorHAnsi"/>
          <w:b w:val="0"/>
          <w:bCs w:val="0"/>
        </w:rPr>
        <w:t>Hericium</w:t>
      </w:r>
      <w:proofErr w:type="spellEnd"/>
      <w:r w:rsidRPr="00703C2D">
        <w:rPr>
          <w:rFonts w:asciiTheme="minorHAnsi" w:eastAsia="Tw Cen MT" w:hAnsiTheme="minorHAnsi" w:cstheme="minorHAnsi"/>
          <w:b w:val="0"/>
          <w:bCs w:val="0"/>
        </w:rPr>
        <w:t xml:space="preserve"> </w:t>
      </w:r>
      <w:proofErr w:type="spellStart"/>
      <w:r w:rsidRPr="00703C2D">
        <w:rPr>
          <w:rFonts w:asciiTheme="minorHAnsi" w:eastAsia="Tw Cen MT" w:hAnsiTheme="minorHAnsi" w:cstheme="minorHAnsi"/>
          <w:b w:val="0"/>
          <w:bCs w:val="0"/>
        </w:rPr>
        <w:t>erinaceus</w:t>
      </w:r>
      <w:proofErr w:type="spellEnd"/>
      <w:r w:rsidRPr="00703C2D">
        <w:rPr>
          <w:rFonts w:asciiTheme="minorHAnsi" w:eastAsia="Tw Cen MT" w:hAnsiTheme="minorHAnsi" w:cstheme="minorHAnsi"/>
          <w:b w:val="0"/>
          <w:bCs w:val="0"/>
        </w:rPr>
        <w:t xml:space="preserve"> maintains the integrity of the intestinal barrier and increases the diversity and richness of the intestinal microbiota. </w:t>
      </w:r>
      <w:proofErr w:type="spellStart"/>
      <w:r w:rsidRPr="00703C2D">
        <w:rPr>
          <w:rFonts w:asciiTheme="minorHAnsi" w:eastAsia="Tw Cen MT" w:hAnsiTheme="minorHAnsi" w:cstheme="minorHAnsi"/>
          <w:b w:val="0"/>
          <w:bCs w:val="0"/>
        </w:rPr>
        <w:t>Psilocybe</w:t>
      </w:r>
      <w:proofErr w:type="spellEnd"/>
      <w:r w:rsidRPr="00703C2D">
        <w:rPr>
          <w:rFonts w:asciiTheme="minorHAnsi" w:eastAsia="Tw Cen MT" w:hAnsiTheme="minorHAnsi" w:cstheme="minorHAnsi"/>
          <w:b w:val="0"/>
          <w:bCs w:val="0"/>
        </w:rPr>
        <w:t xml:space="preserve"> </w:t>
      </w:r>
      <w:proofErr w:type="spellStart"/>
      <w:r w:rsidRPr="00703C2D">
        <w:rPr>
          <w:rFonts w:asciiTheme="minorHAnsi" w:eastAsia="Tw Cen MT" w:hAnsiTheme="minorHAnsi" w:cstheme="minorHAnsi"/>
          <w:b w:val="0"/>
          <w:bCs w:val="0"/>
        </w:rPr>
        <w:t>cubensis</w:t>
      </w:r>
      <w:proofErr w:type="spellEnd"/>
      <w:r w:rsidRPr="00703C2D">
        <w:rPr>
          <w:rFonts w:asciiTheme="minorHAnsi" w:eastAsia="Tw Cen MT" w:hAnsiTheme="minorHAnsi" w:cstheme="minorHAnsi"/>
          <w:b w:val="0"/>
          <w:bCs w:val="0"/>
        </w:rPr>
        <w:t xml:space="preserve"> acts as a prebiotic, increasing SCFA-producing bacteria and regulating the Bacteroides/Firmicutes ratio. We also discuss the effects of different edible mushrooms on the gut microbiota in different diseases and introduce a perspective of application of mushrooms as adjuvant therapies to modulate the gut microbiota in clinical treatments. The statement on the modulation of the composition of the intestinal microbiota by edible fungi will provide a new perspective for future research that is already </w:t>
      </w:r>
      <w:proofErr w:type="gramStart"/>
      <w:r w:rsidRPr="00703C2D">
        <w:rPr>
          <w:rFonts w:asciiTheme="minorHAnsi" w:eastAsia="Tw Cen MT" w:hAnsiTheme="minorHAnsi" w:cstheme="minorHAnsi"/>
          <w:b w:val="0"/>
          <w:bCs w:val="0"/>
        </w:rPr>
        <w:t>opening up</w:t>
      </w:r>
      <w:proofErr w:type="gramEnd"/>
      <w:r w:rsidRPr="00703C2D">
        <w:rPr>
          <w:rFonts w:asciiTheme="minorHAnsi" w:eastAsia="Tw Cen MT" w:hAnsiTheme="minorHAnsi" w:cstheme="minorHAnsi"/>
          <w:b w:val="0"/>
          <w:bCs w:val="0"/>
        </w:rPr>
        <w:t xml:space="preserve"> in the field.</w:t>
      </w:r>
      <w:r w:rsidR="00A9710C" w:rsidRPr="00703C2D">
        <w:rPr>
          <w:b w:val="0"/>
        </w:rPr>
        <w:br w:type="column"/>
      </w:r>
      <w:r w:rsidR="00A9710C" w:rsidRPr="00703C2D">
        <w:t>Image</w:t>
      </w:r>
    </w:p>
    <w:p w14:paraId="070FFD28" w14:textId="0B6FAD11" w:rsidR="00EC54A5" w:rsidRPr="00703C2D" w:rsidRDefault="00EC54A5" w:rsidP="00EC54A5">
      <w:pPr>
        <w:pStyle w:val="Ttulo3"/>
        <w:spacing w:before="74"/>
        <w:rPr>
          <w:color w:val="BF5A14"/>
        </w:rPr>
      </w:pPr>
    </w:p>
    <w:p w14:paraId="564F2E3B" w14:textId="7ABF7923" w:rsidR="00EC54A5" w:rsidRPr="00703C2D" w:rsidRDefault="0078332F" w:rsidP="00EC54A5">
      <w:pPr>
        <w:pStyle w:val="Ttulo3"/>
        <w:spacing w:before="74"/>
      </w:pPr>
      <w:r>
        <w:rPr>
          <w:noProof/>
        </w:rPr>
        <w:drawing>
          <wp:inline distT="0" distB="0" distL="0" distR="0" wp14:anchorId="1E972310" wp14:editId="236CAD42">
            <wp:extent cx="3165475" cy="2374265"/>
            <wp:effectExtent l="0" t="0" r="0" b="6985"/>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374265"/>
                    </a:xfrm>
                    <a:prstGeom prst="rect">
                      <a:avLst/>
                    </a:prstGeom>
                  </pic:spPr>
                </pic:pic>
              </a:graphicData>
            </a:graphic>
          </wp:inline>
        </w:drawing>
      </w:r>
    </w:p>
    <w:p w14:paraId="2502480C" w14:textId="6392C129" w:rsidR="00EC54A5" w:rsidRPr="00703C2D" w:rsidRDefault="00EC54A5" w:rsidP="00EC54A5">
      <w:pPr>
        <w:pStyle w:val="Ttulo3"/>
        <w:spacing w:before="74"/>
      </w:pPr>
    </w:p>
    <w:p w14:paraId="7A79E28A" w14:textId="30F4CD0F" w:rsidR="002F3024" w:rsidRPr="00703C2D" w:rsidRDefault="00EC54A5" w:rsidP="002F3024">
      <w:pPr>
        <w:pStyle w:val="Ttulo3"/>
        <w:spacing w:before="74"/>
      </w:pPr>
      <w:r w:rsidRPr="00703C2D">
        <w:t>Recent Publications</w:t>
      </w:r>
    </w:p>
    <w:p w14:paraId="231B5CD9" w14:textId="7F19A792" w:rsidR="002F3024" w:rsidRPr="00703C2D" w:rsidRDefault="002F3024" w:rsidP="002F3024">
      <w:pPr>
        <w:overflowPunct w:val="0"/>
        <w:autoSpaceDE w:val="0"/>
        <w:autoSpaceDN w:val="0"/>
        <w:adjustRightInd w:val="0"/>
        <w:rPr>
          <w:rFonts w:asciiTheme="minorHAnsi" w:hAnsiTheme="minorHAnsi" w:cstheme="minorHAnsi"/>
          <w:b/>
          <w:bCs/>
          <w:sz w:val="20"/>
          <w:szCs w:val="20"/>
        </w:rPr>
      </w:pPr>
      <w:r w:rsidRPr="00703C2D">
        <w:rPr>
          <w:rFonts w:asciiTheme="minorHAnsi" w:hAnsiTheme="minorHAnsi" w:cstheme="minorHAnsi"/>
          <w:b/>
          <w:bCs/>
          <w:sz w:val="20"/>
          <w:szCs w:val="20"/>
        </w:rPr>
        <w:t xml:space="preserve">Parasites as Accumulation Indicators of Heavy Metal Pollution: a solution to repair the dysbiosis in relation with inflammatory pathologies, Alicia Cobos. </w:t>
      </w:r>
      <w:proofErr w:type="spellStart"/>
      <w:r w:rsidRPr="00703C2D">
        <w:rPr>
          <w:rFonts w:asciiTheme="minorHAnsi" w:hAnsiTheme="minorHAnsi" w:cstheme="minorHAnsi"/>
          <w:sz w:val="20"/>
          <w:szCs w:val="20"/>
        </w:rPr>
        <w:t>Nutricuantica</w:t>
      </w:r>
      <w:proofErr w:type="spellEnd"/>
      <w:r w:rsidRPr="00703C2D">
        <w:rPr>
          <w:rFonts w:asciiTheme="minorHAnsi" w:hAnsiTheme="minorHAnsi" w:cstheme="minorHAnsi"/>
          <w:sz w:val="20"/>
          <w:szCs w:val="20"/>
        </w:rPr>
        <w:t xml:space="preserve"> </w:t>
      </w:r>
      <w:proofErr w:type="spellStart"/>
      <w:r w:rsidRPr="00703C2D">
        <w:rPr>
          <w:rFonts w:asciiTheme="minorHAnsi" w:hAnsiTheme="minorHAnsi" w:cstheme="minorHAnsi"/>
          <w:sz w:val="20"/>
          <w:szCs w:val="20"/>
        </w:rPr>
        <w:t>organisation</w:t>
      </w:r>
      <w:proofErr w:type="spellEnd"/>
      <w:r w:rsidRPr="00703C2D">
        <w:rPr>
          <w:rFonts w:asciiTheme="minorHAnsi" w:hAnsiTheme="minorHAnsi" w:cstheme="minorHAnsi"/>
          <w:sz w:val="20"/>
          <w:szCs w:val="20"/>
        </w:rPr>
        <w:t xml:space="preserve">, Patagonia, Argentina. </w:t>
      </w:r>
    </w:p>
    <w:p w14:paraId="1191079D" w14:textId="77777777" w:rsidR="002F3024" w:rsidRPr="00703C2D" w:rsidRDefault="002F3024" w:rsidP="002F3024">
      <w:pPr>
        <w:pStyle w:val="Ttulo3"/>
        <w:spacing w:before="74"/>
        <w:rPr>
          <w:rFonts w:asciiTheme="minorHAnsi" w:hAnsiTheme="minorHAnsi" w:cstheme="minorHAnsi"/>
        </w:rPr>
      </w:pPr>
    </w:p>
    <w:p w14:paraId="22B2C922" w14:textId="3FDAD480" w:rsidR="00EC54A5" w:rsidRPr="00703C2D" w:rsidRDefault="00EC54A5" w:rsidP="00EC54A5">
      <w:pPr>
        <w:pStyle w:val="Ttulo3"/>
        <w:spacing w:before="74"/>
        <w:rPr>
          <w:color w:val="BF5A14"/>
        </w:rPr>
      </w:pPr>
    </w:p>
    <w:p w14:paraId="4917005A" w14:textId="77777777" w:rsidR="00EC54A5" w:rsidRPr="00703C2D" w:rsidRDefault="00EC54A5" w:rsidP="00EC54A5">
      <w:pPr>
        <w:pStyle w:val="Ttulo3"/>
        <w:spacing w:before="74"/>
      </w:pPr>
    </w:p>
    <w:p w14:paraId="622459E4" w14:textId="1DE5875B" w:rsidR="00AE3E37" w:rsidRPr="00703C2D" w:rsidRDefault="00AE3E37" w:rsidP="008756E6">
      <w:pPr>
        <w:tabs>
          <w:tab w:val="left" w:pos="384"/>
        </w:tabs>
        <w:ind w:right="117"/>
        <w:rPr>
          <w:sz w:val="20"/>
          <w:szCs w:val="20"/>
        </w:rPr>
      </w:pPr>
    </w:p>
    <w:p w14:paraId="27996129" w14:textId="6E673E6A" w:rsidR="00AE3E37" w:rsidRPr="00703C2D" w:rsidRDefault="008756E6">
      <w:pPr>
        <w:spacing w:line="200" w:lineRule="exact"/>
        <w:jc w:val="both"/>
        <w:rPr>
          <w:rFonts w:ascii="Calibri" w:hAnsi="Calibri"/>
          <w:sz w:val="20"/>
          <w:szCs w:val="20"/>
        </w:rPr>
        <w:sectPr w:rsidR="00AE3E37" w:rsidRPr="00703C2D">
          <w:type w:val="continuous"/>
          <w:pgSz w:w="11910" w:h="16840"/>
          <w:pgMar w:top="1740" w:right="600" w:bottom="840" w:left="620" w:header="720" w:footer="720" w:gutter="0"/>
          <w:cols w:num="2" w:space="720" w:equalWidth="0">
            <w:col w:w="5214" w:space="138"/>
            <w:col w:w="5338"/>
          </w:cols>
        </w:sectPr>
      </w:pPr>
      <w:r w:rsidRPr="00703C2D">
        <w:rPr>
          <w:rFonts w:ascii="Calibri" w:hAnsi="Calibri"/>
          <w:sz w:val="20"/>
          <w:szCs w:val="20"/>
        </w:rPr>
        <w:t xml:space="preserve">   </w:t>
      </w:r>
    </w:p>
    <w:p w14:paraId="423139DC" w14:textId="05F72AAC" w:rsidR="00AE3E37" w:rsidRPr="00703C2D" w:rsidRDefault="00D62425">
      <w:pPr>
        <w:pStyle w:val="Textoindependiente"/>
        <w:rPr>
          <w:rFonts w:ascii="Calibri"/>
          <w:b/>
          <w:sz w:val="20"/>
          <w:szCs w:val="20"/>
        </w:rPr>
      </w:pPr>
      <w:r w:rsidRPr="00703C2D">
        <w:rPr>
          <w:rFonts w:ascii="Calibri"/>
          <w:sz w:val="20"/>
          <w:szCs w:val="20"/>
        </w:rPr>
        <w:t xml:space="preserve">                 </w:t>
      </w:r>
    </w:p>
    <w:p w14:paraId="1DC424C4" w14:textId="38F049AD" w:rsidR="002811B7" w:rsidRPr="00703C2D" w:rsidRDefault="00292ED9" w:rsidP="00EC54A5">
      <w:pPr>
        <w:pStyle w:val="Textoindependiente"/>
        <w:spacing w:line="40" w:lineRule="exact"/>
        <w:ind w:left="2202"/>
        <w:rPr>
          <w:rFonts w:ascii="Calibri"/>
          <w:sz w:val="20"/>
          <w:szCs w:val="20"/>
        </w:rPr>
      </w:pPr>
      <w:r w:rsidRPr="00703C2D">
        <w:rPr>
          <w:rFonts w:ascii="Calibri"/>
          <w:noProof/>
          <w:sz w:val="20"/>
          <w:szCs w:val="20"/>
          <w:lang w:val="en-IN" w:eastAsia="en-IN"/>
        </w:rPr>
        <mc:AlternateContent>
          <mc:Choice Requires="wpg">
            <w:drawing>
              <wp:inline distT="0" distB="0" distL="0" distR="0" wp14:anchorId="1E1EE4AB" wp14:editId="223737E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6BC2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2594B41" w14:textId="6C6194F8" w:rsidR="002811B7" w:rsidRPr="00703C2D" w:rsidRDefault="002811B7" w:rsidP="002811B7">
      <w:pPr>
        <w:ind w:left="-5" w:hanging="10"/>
        <w:rPr>
          <w:noProof/>
          <w:sz w:val="20"/>
          <w:szCs w:val="20"/>
        </w:rPr>
      </w:pPr>
    </w:p>
    <w:p w14:paraId="063EAA26" w14:textId="40FF94B3" w:rsidR="002811B7" w:rsidRPr="00703C2D" w:rsidRDefault="002811B7" w:rsidP="002811B7">
      <w:pPr>
        <w:ind w:left="-5" w:hanging="10"/>
        <w:rPr>
          <w:sz w:val="20"/>
          <w:szCs w:val="20"/>
        </w:rPr>
      </w:pPr>
      <w:r w:rsidRPr="00703C2D">
        <w:rPr>
          <w:rFonts w:ascii="Calibri" w:eastAsia="Calibri" w:hAnsi="Calibri" w:cs="Calibri"/>
          <w:b/>
          <w:sz w:val="20"/>
          <w:szCs w:val="20"/>
        </w:rPr>
        <w:t xml:space="preserve"> Biography of presenting author </w:t>
      </w:r>
      <w:r w:rsidRPr="00703C2D">
        <w:rPr>
          <w:rFonts w:ascii="Calibri" w:eastAsia="Calibri" w:hAnsi="Calibri" w:cs="Calibri"/>
          <w:sz w:val="20"/>
          <w:szCs w:val="20"/>
        </w:rPr>
        <w:t xml:space="preserve"> </w:t>
      </w:r>
    </w:p>
    <w:p w14:paraId="2D121D8B" w14:textId="769CE9DF" w:rsidR="002811B7" w:rsidRPr="00703C2D" w:rsidRDefault="00EC54A5" w:rsidP="002811B7">
      <w:pPr>
        <w:rPr>
          <w:sz w:val="20"/>
          <w:szCs w:val="20"/>
        </w:rPr>
      </w:pPr>
      <w:r w:rsidRPr="00703C2D">
        <w:rPr>
          <w:rFonts w:ascii="Calibri" w:eastAsia="Calibri" w:hAnsi="Calibri" w:cs="Calibri"/>
          <w:noProof/>
          <w:sz w:val="20"/>
          <w:szCs w:val="20"/>
        </w:rPr>
        <w:drawing>
          <wp:anchor distT="0" distB="0" distL="114300" distR="114300" simplePos="0" relativeHeight="251659264" behindDoc="0" locked="0" layoutInCell="1" allowOverlap="1" wp14:anchorId="640F25FB" wp14:editId="26C89A56">
            <wp:simplePos x="0" y="0"/>
            <wp:positionH relativeFrom="margin">
              <wp:posOffset>4643120</wp:posOffset>
            </wp:positionH>
            <wp:positionV relativeFrom="paragraph">
              <wp:posOffset>-236220</wp:posOffset>
            </wp:positionV>
            <wp:extent cx="2141220" cy="2769235"/>
            <wp:effectExtent l="0" t="0" r="0" b="0"/>
            <wp:wrapThrough wrapText="bothSides">
              <wp:wrapPolygon edited="0">
                <wp:start x="0" y="0"/>
                <wp:lineTo x="0" y="21397"/>
                <wp:lineTo x="21331" y="21397"/>
                <wp:lineTo x="21331" y="0"/>
                <wp:lineTo x="0" y="0"/>
              </wp:wrapPolygon>
            </wp:wrapThrough>
            <wp:docPr id="2" name="Imagen 2" descr="Mujer sentada en una mes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Mujer sentada en una mesa&#10;&#10;Descripción generada automáticamente con confianza medi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1220" cy="2769235"/>
                    </a:xfrm>
                    <a:prstGeom prst="rect">
                      <a:avLst/>
                    </a:prstGeom>
                  </pic:spPr>
                </pic:pic>
              </a:graphicData>
            </a:graphic>
            <wp14:sizeRelH relativeFrom="page">
              <wp14:pctWidth>0</wp14:pctWidth>
            </wp14:sizeRelH>
            <wp14:sizeRelV relativeFrom="page">
              <wp14:pctHeight>0</wp14:pctHeight>
            </wp14:sizeRelV>
          </wp:anchor>
        </w:drawing>
      </w:r>
      <w:r w:rsidR="002811B7" w:rsidRPr="00703C2D">
        <w:rPr>
          <w:rFonts w:ascii="Calibri" w:eastAsia="Calibri" w:hAnsi="Calibri" w:cs="Calibri"/>
          <w:sz w:val="20"/>
          <w:szCs w:val="20"/>
        </w:rPr>
        <w:t xml:space="preserve"> </w:t>
      </w:r>
    </w:p>
    <w:p w14:paraId="042F4906" w14:textId="54A23F9F" w:rsidR="002811B7" w:rsidRPr="00703C2D" w:rsidRDefault="002811B7" w:rsidP="002811B7">
      <w:pPr>
        <w:spacing w:after="5" w:line="250" w:lineRule="auto"/>
        <w:ind w:left="-5" w:right="50" w:hanging="10"/>
        <w:rPr>
          <w:rFonts w:ascii="Calibri" w:eastAsia="Calibri" w:hAnsi="Calibri" w:cs="Calibri"/>
          <w:sz w:val="20"/>
          <w:szCs w:val="20"/>
        </w:rPr>
      </w:pPr>
      <w:r w:rsidRPr="00703C2D">
        <w:rPr>
          <w:rFonts w:ascii="Calibri" w:eastAsia="Calibri" w:hAnsi="Calibri" w:cs="Calibri"/>
          <w:sz w:val="20"/>
          <w:szCs w:val="20"/>
        </w:rPr>
        <w:t xml:space="preserve">Alicia Cobos graduated in nutrition and dietetics from the Barceló medical school (Argentina), continued her specializations in microbiology, in the area of parasitology and entomology (at Kilimanjaro Christian Medical University College, </w:t>
      </w:r>
      <w:r w:rsidRPr="00703C2D">
        <w:rPr>
          <w:sz w:val="20"/>
          <w:szCs w:val="20"/>
        </w:rPr>
        <w:t>A</w:t>
      </w:r>
      <w:r w:rsidRPr="00703C2D">
        <w:rPr>
          <w:rFonts w:ascii="Calibri" w:eastAsia="Calibri" w:hAnsi="Calibri" w:cs="Calibri"/>
          <w:sz w:val="20"/>
          <w:szCs w:val="20"/>
        </w:rPr>
        <w:t>frica), chronobiology at the Ludwig Maximilian University of Munich (Germany),</w:t>
      </w:r>
      <w:r w:rsidRPr="00703C2D">
        <w:rPr>
          <w:sz w:val="20"/>
          <w:szCs w:val="20"/>
        </w:rPr>
        <w:t xml:space="preserve"> </w:t>
      </w:r>
      <w:r w:rsidRPr="00703C2D">
        <w:rPr>
          <w:rFonts w:asciiTheme="minorHAnsi" w:hAnsiTheme="minorHAnsi" w:cstheme="minorHAnsi"/>
          <w:sz w:val="20"/>
          <w:szCs w:val="20"/>
        </w:rPr>
        <w:t>a certification on edible and medicinal mushroom,</w:t>
      </w:r>
      <w:r w:rsidRPr="00703C2D">
        <w:rPr>
          <w:rFonts w:ascii="Calibri" w:eastAsia="Calibri" w:hAnsi="Calibri" w:cs="Calibri"/>
          <w:sz w:val="20"/>
          <w:szCs w:val="20"/>
        </w:rPr>
        <w:t xml:space="preserve"> and is currently participating in a research in Bulgaria, on traditional products, especially on the use and benefits of "boza", a fermented cereal drink, for its lactic acid amylolytic bacteria (ALAB).  </w:t>
      </w:r>
    </w:p>
    <w:p w14:paraId="56C75EFD" w14:textId="241CC08F" w:rsidR="002811B7" w:rsidRPr="00703C2D" w:rsidRDefault="002811B7" w:rsidP="002811B7">
      <w:pPr>
        <w:spacing w:after="5" w:line="250" w:lineRule="auto"/>
        <w:ind w:left="-5" w:right="50" w:hanging="10"/>
        <w:rPr>
          <w:rFonts w:ascii="Calibri" w:eastAsia="Calibri" w:hAnsi="Calibri" w:cs="Calibri"/>
          <w:sz w:val="20"/>
          <w:szCs w:val="20"/>
        </w:rPr>
      </w:pPr>
    </w:p>
    <w:p w14:paraId="3064423C" w14:textId="77777777" w:rsidR="002F3024" w:rsidRPr="00703C2D" w:rsidRDefault="002F3024" w:rsidP="002811B7">
      <w:pPr>
        <w:spacing w:after="5" w:line="250" w:lineRule="auto"/>
        <w:ind w:left="-5" w:right="50" w:hanging="10"/>
        <w:rPr>
          <w:rFonts w:ascii="Calibri" w:eastAsia="Calibri" w:hAnsi="Calibri" w:cs="Calibri"/>
          <w:b/>
          <w:bCs/>
          <w:sz w:val="20"/>
          <w:szCs w:val="20"/>
        </w:rPr>
      </w:pPr>
    </w:p>
    <w:p w14:paraId="720E44C5" w14:textId="77777777" w:rsidR="002F3024" w:rsidRPr="00703C2D" w:rsidRDefault="002F3024" w:rsidP="002811B7">
      <w:pPr>
        <w:spacing w:after="5" w:line="250" w:lineRule="auto"/>
        <w:ind w:left="-5" w:right="50" w:hanging="10"/>
        <w:rPr>
          <w:rFonts w:ascii="Calibri" w:eastAsia="Calibri" w:hAnsi="Calibri" w:cs="Calibri"/>
          <w:b/>
          <w:bCs/>
          <w:sz w:val="20"/>
          <w:szCs w:val="20"/>
        </w:rPr>
      </w:pPr>
    </w:p>
    <w:p w14:paraId="3D8D1478" w14:textId="44D82EC9" w:rsidR="002F3024" w:rsidRPr="0078332F" w:rsidRDefault="002811B7" w:rsidP="0078332F">
      <w:pPr>
        <w:spacing w:after="5" w:line="250" w:lineRule="auto"/>
        <w:ind w:right="50"/>
        <w:rPr>
          <w:rFonts w:ascii="Calibri" w:eastAsia="Calibri" w:hAnsi="Calibri" w:cs="Calibri"/>
          <w:color w:val="0000FF" w:themeColor="hyperlink"/>
          <w:sz w:val="20"/>
          <w:szCs w:val="20"/>
          <w:u w:val="single"/>
        </w:rPr>
      </w:pPr>
      <w:r w:rsidRPr="00703C2D">
        <w:rPr>
          <w:rFonts w:ascii="Calibri" w:eastAsia="Calibri" w:hAnsi="Calibri" w:cs="Calibri"/>
          <w:b/>
          <w:bCs/>
          <w:sz w:val="20"/>
          <w:szCs w:val="20"/>
        </w:rPr>
        <w:t>Mail:</w:t>
      </w:r>
      <w:r w:rsidRPr="00703C2D">
        <w:rPr>
          <w:rFonts w:ascii="Calibri" w:eastAsia="Calibri" w:hAnsi="Calibri" w:cs="Calibri"/>
          <w:sz w:val="20"/>
          <w:szCs w:val="20"/>
        </w:rPr>
        <w:t xml:space="preserve"> </w:t>
      </w:r>
      <w:hyperlink r:id="rId11" w:history="1">
        <w:r w:rsidRPr="00703C2D">
          <w:rPr>
            <w:rStyle w:val="Hipervnculo"/>
            <w:rFonts w:ascii="Calibri" w:eastAsia="Calibri" w:hAnsi="Calibri" w:cs="Calibri"/>
            <w:sz w:val="20"/>
            <w:szCs w:val="20"/>
          </w:rPr>
          <w:t>aliciacobosfuhr@nutricuantica.net</w:t>
        </w:r>
      </w:hyperlink>
    </w:p>
    <w:p w14:paraId="356E2DE1" w14:textId="77EA944B" w:rsidR="002811B7" w:rsidRPr="002F3024" w:rsidRDefault="002811B7" w:rsidP="002811B7">
      <w:pPr>
        <w:spacing w:after="5" w:line="250" w:lineRule="auto"/>
        <w:ind w:left="-5" w:right="50" w:hanging="10"/>
        <w:rPr>
          <w:rFonts w:ascii="Calibri" w:eastAsia="Calibri" w:hAnsi="Calibri" w:cs="Calibri"/>
          <w:sz w:val="24"/>
          <w:lang w:val="es-AR"/>
        </w:rPr>
      </w:pPr>
    </w:p>
    <w:p w14:paraId="06ACC8DF" w14:textId="77777777" w:rsidR="00AE3E37" w:rsidRPr="002F3024" w:rsidRDefault="00AE3E37">
      <w:pPr>
        <w:pStyle w:val="Textoindependiente"/>
        <w:spacing w:before="3"/>
        <w:rPr>
          <w:rFonts w:ascii="Minion Pro"/>
          <w:sz w:val="26"/>
          <w:lang w:val="es-AR"/>
        </w:rPr>
      </w:pPr>
    </w:p>
    <w:sectPr w:rsidR="00AE3E37" w:rsidRPr="002F302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F55A9" w14:textId="77777777" w:rsidR="00470069" w:rsidRDefault="00470069">
      <w:r>
        <w:separator/>
      </w:r>
    </w:p>
  </w:endnote>
  <w:endnote w:type="continuationSeparator" w:id="0">
    <w:p w14:paraId="32ECE578" w14:textId="77777777" w:rsidR="00470069" w:rsidRDefault="00470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C6F48" w14:textId="62052295"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5C7D74C6" wp14:editId="7A0C9B1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7D74C6"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BBAB81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34205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419C9BF" wp14:editId="3C5D6F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9C9B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524DDA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2595D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79D39" w14:textId="77777777" w:rsidR="00470069" w:rsidRDefault="00470069">
      <w:r>
        <w:separator/>
      </w:r>
    </w:p>
  </w:footnote>
  <w:footnote w:type="continuationSeparator" w:id="0">
    <w:p w14:paraId="3E12D998" w14:textId="77777777" w:rsidR="00470069" w:rsidRDefault="00470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B87D7" w14:textId="03CC2DEB"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14DD4BC5" wp14:editId="4B0A37A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C2C01"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DD4BC5"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" filled="f" stroked="f">
              <v:textbox inset="0,0,0,0">
                <w:txbxContent>
                  <w:p w14:paraId="5A7C2C01"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B1029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91650161">
    <w:abstractNumId w:val="0"/>
  </w:num>
  <w:num w:numId="2" w16cid:durableId="1536115208">
    <w:abstractNumId w:val="1"/>
  </w:num>
  <w:num w:numId="3" w16cid:durableId="6433170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C5D83"/>
    <w:rsid w:val="001E763C"/>
    <w:rsid w:val="002811B7"/>
    <w:rsid w:val="00292ED9"/>
    <w:rsid w:val="002F3024"/>
    <w:rsid w:val="002F5D3C"/>
    <w:rsid w:val="00314AFB"/>
    <w:rsid w:val="003B76D9"/>
    <w:rsid w:val="00404E5B"/>
    <w:rsid w:val="00414F7B"/>
    <w:rsid w:val="004355DC"/>
    <w:rsid w:val="00470069"/>
    <w:rsid w:val="004749B4"/>
    <w:rsid w:val="00494130"/>
    <w:rsid w:val="004F3523"/>
    <w:rsid w:val="005973B9"/>
    <w:rsid w:val="005B3A56"/>
    <w:rsid w:val="005E0888"/>
    <w:rsid w:val="006060CE"/>
    <w:rsid w:val="0063497F"/>
    <w:rsid w:val="006D4BDC"/>
    <w:rsid w:val="00703C2D"/>
    <w:rsid w:val="00726AD3"/>
    <w:rsid w:val="0078332F"/>
    <w:rsid w:val="0078738A"/>
    <w:rsid w:val="008074F9"/>
    <w:rsid w:val="00873DF0"/>
    <w:rsid w:val="008756E6"/>
    <w:rsid w:val="009B2D44"/>
    <w:rsid w:val="00A07E82"/>
    <w:rsid w:val="00A9710C"/>
    <w:rsid w:val="00AE3E37"/>
    <w:rsid w:val="00B21A57"/>
    <w:rsid w:val="00C33602"/>
    <w:rsid w:val="00CD6F55"/>
    <w:rsid w:val="00D62425"/>
    <w:rsid w:val="00DD0A82"/>
    <w:rsid w:val="00DE3104"/>
    <w:rsid w:val="00EC54A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68BE2"/>
  <w15:docId w15:val="{E91315E7-30E9-4658-921A-AE651305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2811B7"/>
    <w:rPr>
      <w:color w:val="605E5C"/>
      <w:shd w:val="clear" w:color="auto" w:fill="E1DFDD"/>
    </w:rPr>
  </w:style>
  <w:style w:type="character" w:customStyle="1" w:styleId="title-text">
    <w:name w:val="title-text"/>
    <w:basedOn w:val="Fuentedeprrafopredeter"/>
    <w:rsid w:val="0028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558140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iciacobosfuhr@nutricuantica.ne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1903</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Alicia Cobos</cp:lastModifiedBy>
  <cp:revision>2</cp:revision>
  <dcterms:created xsi:type="dcterms:W3CDTF">2022-09-25T21:18:00Z</dcterms:created>
  <dcterms:modified xsi:type="dcterms:W3CDTF">2022-09-25T21:18:00Z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