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30312C" w:rsidP="00494130">
      <w:pPr>
        <w:pStyle w:val="Heading1"/>
        <w:spacing w:before="170"/>
        <w:ind w:left="0"/>
      </w:pPr>
      <w:r>
        <w:rPr>
          <w:color w:val="337AB7"/>
        </w:rPr>
        <w:t>Nursing and Promoting Health</w:t>
      </w:r>
    </w:p>
    <w:p w:rsidR="00AE3E37" w:rsidRPr="0030312C" w:rsidRDefault="00D32BC2">
      <w:pPr>
        <w:pStyle w:val="BodyText"/>
        <w:rPr>
          <w:rFonts w:ascii="Arial"/>
          <w:color w:val="C00000"/>
          <w:sz w:val="20"/>
          <w:lang w:val="pt-BR"/>
        </w:rPr>
      </w:pPr>
      <w:r w:rsidRPr="0030312C">
        <w:rPr>
          <w:rFonts w:ascii="Arial"/>
          <w:color w:val="C00000"/>
          <w:lang w:val="pt-BR"/>
        </w:rPr>
        <w:t xml:space="preserve">Heamodialysis Sister Salma Bi BEM BCAe </w:t>
      </w:r>
    </w:p>
    <w:p w:rsidR="00AE3E37" w:rsidRPr="0030312C" w:rsidRDefault="00AE3E37">
      <w:pPr>
        <w:pStyle w:val="BodyText"/>
        <w:spacing w:before="3"/>
        <w:rPr>
          <w:rFonts w:ascii="Arial"/>
          <w:sz w:val="21"/>
          <w:lang w:val="pt-BR"/>
        </w:rPr>
      </w:pPr>
    </w:p>
    <w:p w:rsidR="00AE3E37" w:rsidRPr="0030312C" w:rsidRDefault="00AE3E37">
      <w:pPr>
        <w:rPr>
          <w:rFonts w:ascii="Arial"/>
          <w:sz w:val="21"/>
          <w:lang w:val="pt-BR"/>
        </w:rPr>
        <w:sectPr w:rsidR="00AE3E37" w:rsidRPr="0030312C">
          <w:headerReference w:type="default" r:id="rId7"/>
          <w:footerReference w:type="default" r:id="rId8"/>
          <w:type w:val="continuous"/>
          <w:pgSz w:w="11910" w:h="16840"/>
          <w:pgMar w:top="1740" w:right="600" w:bottom="840" w:left="620" w:header="541" w:footer="642" w:gutter="0"/>
          <w:cols w:space="720"/>
        </w:sectPr>
      </w:pPr>
    </w:p>
    <w:p w:rsidR="00F41672" w:rsidRPr="008556B9" w:rsidRDefault="00A9710C" w:rsidP="00F41672">
      <w:pPr>
        <w:pStyle w:val="NoSpacing"/>
        <w:rPr>
          <w:rFonts w:ascii="Tw Cen MT" w:hAnsi="Tw Cen MT"/>
          <w:sz w:val="18"/>
          <w:szCs w:val="18"/>
        </w:rPr>
      </w:pPr>
      <w:r w:rsidRPr="008556B9">
        <w:rPr>
          <w:rFonts w:ascii="Tw Cen MT" w:hAnsi="Tw Cen MT"/>
          <w:sz w:val="18"/>
          <w:szCs w:val="18"/>
        </w:rPr>
        <w:t xml:space="preserve">Statement of the Problem: </w:t>
      </w:r>
      <w:r w:rsidR="00F41672" w:rsidRPr="008556B9">
        <w:rPr>
          <w:rFonts w:ascii="Tw Cen MT" w:hAnsi="Tw Cen MT"/>
          <w:sz w:val="18"/>
          <w:szCs w:val="18"/>
        </w:rPr>
        <w:t>Nursing is an occupation in which overtime, irregular shifts, and stress, both physical and emotional, are common. The unhealthy behaviours associated with this job include emotional eating, irregular meals, and frequent high-energy snacking.</w:t>
      </w:r>
    </w:p>
    <w:p w:rsidR="00F41672" w:rsidRPr="008556B9" w:rsidRDefault="00F41672" w:rsidP="00F41672">
      <w:pPr>
        <w:pStyle w:val="NoSpacing"/>
        <w:rPr>
          <w:rFonts w:ascii="Tw Cen MT" w:hAnsi="Tw Cen MT"/>
          <w:sz w:val="18"/>
          <w:szCs w:val="18"/>
        </w:rPr>
      </w:pPr>
      <w:r w:rsidRPr="008556B9">
        <w:rPr>
          <w:rFonts w:ascii="Tw Cen MT" w:hAnsi="Tw Cen MT"/>
          <w:sz w:val="18"/>
          <w:szCs w:val="18"/>
        </w:rPr>
        <w:t>Therefore, nurses’ jobs may impact their availability and time to engage with health promotion programs; nurses have a lack of motivation for self-care. The stress associated with the nursing profession can have a negative effect on the physical, mental, and occupational health of nurses.</w:t>
      </w:r>
    </w:p>
    <w:p w:rsidR="008556B9" w:rsidRPr="008556B9" w:rsidRDefault="00A9710C" w:rsidP="008556B9">
      <w:pPr>
        <w:rPr>
          <w:sz w:val="18"/>
          <w:szCs w:val="18"/>
        </w:rPr>
      </w:pPr>
      <w:r w:rsidRPr="008556B9">
        <w:rPr>
          <w:sz w:val="18"/>
          <w:szCs w:val="18"/>
        </w:rPr>
        <w:t>The purpose of this study is to</w:t>
      </w:r>
      <w:r w:rsidR="00404E5B" w:rsidRPr="008556B9">
        <w:rPr>
          <w:sz w:val="18"/>
          <w:szCs w:val="18"/>
        </w:rPr>
        <w:t xml:space="preserve"> </w:t>
      </w:r>
      <w:r w:rsidRPr="008556B9">
        <w:rPr>
          <w:sz w:val="18"/>
          <w:szCs w:val="18"/>
        </w:rPr>
        <w:t>describe the experience of Methodolog</w:t>
      </w:r>
      <w:r w:rsidR="0078738A" w:rsidRPr="008556B9">
        <w:rPr>
          <w:sz w:val="18"/>
          <w:szCs w:val="18"/>
        </w:rPr>
        <w:t xml:space="preserve">y &amp; Theoretical Orientation: </w:t>
      </w:r>
      <w:r w:rsidR="008556B9" w:rsidRPr="008556B9">
        <w:rPr>
          <w:sz w:val="18"/>
          <w:szCs w:val="18"/>
        </w:rPr>
        <w:t>Nurses have various advantages that should encourage their participation in physical activity. For example, nurses are well educated, particularly in health and well-being, and benefit from the socioeconomic advantage of employment, which enhances the availability, choice and practicality of exercise. The release of neurotransmitters such as endorphins and serotonin is often cited as the reason why physical activity is positively associated with feelings of happiness and subjective well-being.</w:t>
      </w:r>
    </w:p>
    <w:p w:rsidR="008556B9" w:rsidRPr="008556B9" w:rsidRDefault="00A9710C" w:rsidP="008556B9">
      <w:pPr>
        <w:rPr>
          <w:sz w:val="18"/>
          <w:szCs w:val="18"/>
        </w:rPr>
      </w:pPr>
      <w:r w:rsidRPr="008556B9">
        <w:rPr>
          <w:sz w:val="18"/>
          <w:szCs w:val="18"/>
        </w:rPr>
        <w:t xml:space="preserve">Findings: </w:t>
      </w:r>
      <w:r w:rsidR="008556B9" w:rsidRPr="008556B9">
        <w:rPr>
          <w:sz w:val="18"/>
          <w:szCs w:val="18"/>
        </w:rPr>
        <w:t>Nurses have an important health promotion role in recommending the potential benefits of physical activity to the general public. However, research suggests that many nurses may not be undertaking enough physical activity themselves, despite the active nature of the nursing role.</w:t>
      </w:r>
    </w:p>
    <w:p w:rsidR="008556B9" w:rsidRPr="008556B9" w:rsidRDefault="008556B9" w:rsidP="008556B9">
      <w:pPr>
        <w:rPr>
          <w:sz w:val="18"/>
          <w:szCs w:val="18"/>
        </w:rPr>
      </w:pPr>
      <w:r w:rsidRPr="008556B9">
        <w:rPr>
          <w:sz w:val="18"/>
          <w:szCs w:val="18"/>
        </w:rPr>
        <w:t>Results suggest a positive association between participation in physical activity and various measures of health among nurses, demonstrating that increasing daily physical activity, either leisure-time or occupational or combination, may be an effective method for improving health stress, quality of life, and satisfaction with life among this population.</w:t>
      </w:r>
    </w:p>
    <w:p w:rsidR="008556B9" w:rsidRPr="008556B9" w:rsidRDefault="00A9710C" w:rsidP="008556B9">
      <w:pPr>
        <w:rPr>
          <w:sz w:val="18"/>
          <w:szCs w:val="18"/>
        </w:rPr>
      </w:pPr>
      <w:r w:rsidRPr="008556B9">
        <w:rPr>
          <w:sz w:val="18"/>
          <w:szCs w:val="18"/>
        </w:rPr>
        <w:t xml:space="preserve">Conclusion &amp; Significance: </w:t>
      </w:r>
      <w:r w:rsidR="008556B9" w:rsidRPr="008556B9">
        <w:rPr>
          <w:sz w:val="18"/>
          <w:szCs w:val="18"/>
        </w:rPr>
        <w:t>A healthy workplace is defined as one where workers and managers work together to protect, promote and support workers’ health, safety and well-being. A healthy workplace can enrich nurse performance, increase job satisfaction, reduce turnover and help retain nurses in the workforce, which also may have a positive influence on patient outcomes. It can also help increase nurses’ resilience, thus attenuating the effects of work adversity and enhancing their health and well-being Individuals with high levels of resilience can tolerate increased job demands and adapt better to their work environments.</w:t>
      </w:r>
    </w:p>
    <w:p w:rsidR="00AE3E37" w:rsidRPr="00586411" w:rsidRDefault="00A9710C" w:rsidP="00B850AB">
      <w:pPr>
        <w:pStyle w:val="Heading3"/>
        <w:spacing w:before="74"/>
        <w:ind w:left="0"/>
        <w:rPr>
          <w:sz w:val="16"/>
          <w:szCs w:val="16"/>
        </w:rPr>
      </w:pPr>
      <w:r>
        <w:rPr>
          <w:b w:val="0"/>
        </w:rPr>
        <w:br w:type="column"/>
      </w:r>
      <w:r w:rsidR="00586411" w:rsidRPr="00586411">
        <w:rPr>
          <w:sz w:val="16"/>
          <w:szCs w:val="16"/>
        </w:rPr>
        <w:t>FIGURE 1</w:t>
      </w:r>
      <w:r w:rsidR="00586411" w:rsidRPr="00586411">
        <w:rPr>
          <w:sz w:val="16"/>
          <w:szCs w:val="16"/>
        </w:rPr>
        <w:t> </w:t>
      </w:r>
      <w:r w:rsidR="00586411" w:rsidRPr="00586411">
        <w:rPr>
          <w:sz w:val="16"/>
          <w:szCs w:val="16"/>
        </w:rPr>
        <w:t>A developed specific study framework of job demands–recovery (adapted from Bakker &amp; Demerouti, 2007)</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4067175</wp:posOffset>
            </wp:positionH>
            <wp:positionV relativeFrom="paragraph">
              <wp:posOffset>140970</wp:posOffset>
            </wp:positionV>
            <wp:extent cx="2933065" cy="1466850"/>
            <wp:effectExtent l="0" t="0" r="635"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33065" cy="1466850"/>
                    </a:xfrm>
                    <a:prstGeom prst="rect">
                      <a:avLst/>
                    </a:prstGeom>
                  </pic:spPr>
                </pic:pic>
              </a:graphicData>
            </a:graphic>
            <wp14:sizeRelH relativeFrom="margin">
              <wp14:pctWidth>0</wp14:pctWidth>
            </wp14:sizeRelH>
            <wp14:sizeRelV relativeFrom="margin">
              <wp14:pctHeight>0</wp14:pctHeight>
            </wp14:sizeRelV>
          </wp:anchor>
        </w:drawing>
      </w:r>
    </w:p>
    <w:p w:rsidR="005973B9" w:rsidRDefault="005973B9" w:rsidP="005973B9">
      <w:pPr>
        <w:spacing w:line="204" w:lineRule="exact"/>
        <w:rPr>
          <w:rFonts w:ascii="Arial"/>
          <w:b/>
          <w:sz w:val="20"/>
        </w:rPr>
      </w:pPr>
      <w:r>
        <w:rPr>
          <w:rFonts w:ascii="Arial"/>
          <w:b/>
          <w:color w:val="BF5A14"/>
          <w:sz w:val="20"/>
        </w:rPr>
        <w:br/>
      </w:r>
    </w:p>
    <w:p w:rsidR="00EB6FFD" w:rsidRDefault="00EB6FFD" w:rsidP="005973B9">
      <w:pPr>
        <w:pStyle w:val="BodyText"/>
        <w:spacing w:before="85" w:line="216" w:lineRule="exact"/>
        <w:ind w:left="383" w:right="138" w:hanging="284"/>
        <w:jc w:val="both"/>
        <w:rPr>
          <w:rFonts w:ascii="Calibri" w:hAnsi="Calibri"/>
        </w:rPr>
      </w:pPr>
      <w:r>
        <w:rPr>
          <w:rFonts w:ascii="Calibri" w:hAnsi="Calibri"/>
        </w:rPr>
        <w:t xml:space="preserve">1 </w:t>
      </w:r>
      <w:r>
        <w:t>Owusu-Sekyere F (2020) Assessing the effect of physical activity and exercise on nurses’ well-being. Nursing Standard</w:t>
      </w:r>
    </w:p>
    <w:p w:rsidR="00EB6FFD" w:rsidRDefault="00EB6FFD" w:rsidP="005973B9">
      <w:pPr>
        <w:pStyle w:val="BodyText"/>
        <w:spacing w:before="85" w:line="216" w:lineRule="exact"/>
        <w:ind w:left="383" w:right="138" w:hanging="284"/>
        <w:jc w:val="both"/>
        <w:rPr>
          <w:rFonts w:ascii="Calibri" w:hAnsi="Calibri"/>
        </w:rPr>
      </w:pPr>
      <w:r>
        <w:rPr>
          <w:rFonts w:ascii="Calibri" w:hAnsi="Calibri"/>
        </w:rPr>
        <w:t xml:space="preserve">2 Walk the Talk: The nurses role in increasing Physical activity. </w:t>
      </w:r>
      <w:r>
        <w:t>estern Journal of Nursing Research 2016, Vol. 38(4) 391–393</w:t>
      </w:r>
    </w:p>
    <w:p w:rsidR="00EB6FFD" w:rsidRDefault="00EB6FFD" w:rsidP="005973B9">
      <w:pPr>
        <w:pStyle w:val="BodyText"/>
        <w:spacing w:before="85" w:line="216" w:lineRule="exact"/>
        <w:ind w:left="383" w:right="138" w:hanging="284"/>
        <w:jc w:val="both"/>
        <w:rPr>
          <w:rFonts w:ascii="Calibri" w:hAnsi="Calibri"/>
        </w:rPr>
      </w:pPr>
      <w:r>
        <w:rPr>
          <w:rFonts w:ascii="Calibri" w:hAnsi="Calibri"/>
        </w:rPr>
        <w:t xml:space="preserve">3 </w:t>
      </w:r>
      <w:r>
        <w:t>American Journal of Health Promotion</w:t>
      </w:r>
      <w:r>
        <w:t xml:space="preserve">. </w:t>
      </w:r>
      <w:r>
        <w:t>January 2017, Vol. 31, No. 1</w:t>
      </w:r>
    </w:p>
    <w:p w:rsidR="00EB6FFD" w:rsidRDefault="00EB6FFD" w:rsidP="005973B9">
      <w:pPr>
        <w:pStyle w:val="BodyText"/>
        <w:spacing w:before="85" w:line="216" w:lineRule="exact"/>
        <w:ind w:left="383" w:right="138" w:hanging="284"/>
        <w:jc w:val="both"/>
        <w:rPr>
          <w:rFonts w:ascii="Calibri" w:hAnsi="Calibri"/>
        </w:rPr>
      </w:pPr>
      <w:r>
        <w:rPr>
          <w:rFonts w:ascii="Calibri" w:hAnsi="Calibri"/>
        </w:rPr>
        <w:t xml:space="preserve">4 </w:t>
      </w:r>
      <w:r>
        <w:t>Nurses’ physical activity exploratory study: Caring for you so you can care for others</w:t>
      </w:r>
      <w:r>
        <w:t xml:space="preserve">. </w:t>
      </w:r>
      <w:r>
        <w:t>19 January 2020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EB6FFD">
        <w:t xml:space="preserve">Describing objectively measured intensive care nurses’ physical work activity </w:t>
      </w:r>
      <w:r w:rsidR="00EB6FFD">
        <w:t>behavioral</w:t>
      </w:r>
      <w:r w:rsidR="00EB6FFD">
        <w:t xml:space="preserve"> patterns during a 12-hr shift</w:t>
      </w:r>
      <w:r w:rsidR="00EB6FFD">
        <w:t>.</w:t>
      </w:r>
      <w:r w:rsidR="00EB6FFD" w:rsidRPr="00EB6FFD">
        <w:t xml:space="preserve"> </w:t>
      </w:r>
      <w:r w:rsidR="00EB6FFD">
        <w:t>13 August 2020</w:t>
      </w:r>
      <w:r w:rsidR="00EB6FFD">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0EAD3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Pr>
          <w:noProof/>
          <w:lang w:val="en-IN" w:eastAsia="en-IN"/>
        </w:rPr>
        <w:drawing>
          <wp:inline distT="0" distB="0" distL="0" distR="0" wp14:anchorId="1B650C0E" wp14:editId="0E8C3C7F">
            <wp:extent cx="609600" cy="6432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11004" cy="644737"/>
                    </a:xfrm>
                    <a:prstGeom prst="rect">
                      <a:avLst/>
                    </a:prstGeom>
                    <a:noFill/>
                    <a:ln>
                      <a:noFill/>
                    </a:ln>
                  </pic:spPr>
                </pic:pic>
              </a:graphicData>
            </a:graphic>
          </wp:inline>
        </w:drawing>
      </w:r>
    </w:p>
    <w:p w:rsidR="00B850AB" w:rsidRPr="00B850AB" w:rsidRDefault="00B850AB" w:rsidP="00B850AB">
      <w:pPr>
        <w:pStyle w:val="NoSpacing"/>
        <w:rPr>
          <w:rFonts w:ascii="Tw Cen MT" w:eastAsia="Times New Roman" w:hAnsi="Tw Cen MT" w:cs="Segoe UI"/>
          <w:color w:val="242424"/>
          <w:sz w:val="18"/>
          <w:szCs w:val="18"/>
        </w:rPr>
      </w:pPr>
      <w:r w:rsidRPr="00B850AB">
        <w:rPr>
          <w:rFonts w:ascii="Tw Cen MT" w:hAnsi="Tw Cen MT"/>
          <w:sz w:val="18"/>
          <w:szCs w:val="18"/>
        </w:rPr>
        <w:t>Salma is a Sister at a Haemodialysis Hospital setting with over 13 years of nursing experience in Acute and Chronic Dialysis. She has also worked in care community settings and encouraged health promotion through her Sporting Pathways CIC as a Co-founder and Director hosting over 10 National Awards. A 10 Time National Award Winner.</w:t>
      </w:r>
      <w:r w:rsidRPr="00B850AB">
        <w:rPr>
          <w:rFonts w:ascii="Tw Cen MT" w:eastAsia="Times New Roman" w:hAnsi="Tw Cen MT" w:cs="Segoe UI"/>
          <w:color w:val="242424"/>
          <w:sz w:val="18"/>
          <w:szCs w:val="18"/>
        </w:rPr>
        <w:t xml:space="preserve"> </w:t>
      </w:r>
      <w:r w:rsidRPr="00B850AB">
        <w:rPr>
          <w:rFonts w:ascii="Tw Cen MT" w:eastAsia="Times New Roman" w:hAnsi="Tw Cen MT" w:cs="Segoe UI"/>
          <w:color w:val="242424"/>
          <w:sz w:val="18"/>
          <w:szCs w:val="18"/>
          <w:shd w:val="clear" w:color="auto" w:fill="FFFFFF"/>
        </w:rPr>
        <w:t>Hosted 10 National Events T10, Futsal &amp; Dodgeball</w:t>
      </w:r>
      <w:r w:rsidRPr="00B850AB">
        <w:rPr>
          <w:rFonts w:ascii="Tw Cen MT" w:eastAsia="Times New Roman" w:hAnsi="Tw Cen MT" w:cs="Segoe UI"/>
          <w:color w:val="242424"/>
          <w:sz w:val="18"/>
          <w:szCs w:val="18"/>
        </w:rPr>
        <w:br/>
      </w:r>
      <w:r w:rsidRPr="00B850AB">
        <w:rPr>
          <w:rFonts w:ascii="Tw Cen MT" w:eastAsia="Times New Roman" w:hAnsi="Tw Cen MT" w:cs="Segoe UI"/>
          <w:color w:val="242424"/>
          <w:sz w:val="18"/>
          <w:szCs w:val="18"/>
          <w:shd w:val="clear" w:color="auto" w:fill="FFFFFF"/>
        </w:rPr>
        <w:t>Set Up All Asian Women's Inspirational Cricket Team</w:t>
      </w:r>
      <w:r w:rsidRPr="00B850AB">
        <w:rPr>
          <w:rFonts w:ascii="Tw Cen MT" w:eastAsia="Times New Roman" w:hAnsi="Tw Cen MT" w:cs="Segoe UI"/>
          <w:color w:val="242424"/>
          <w:sz w:val="18"/>
          <w:szCs w:val="18"/>
        </w:rPr>
        <w:t xml:space="preserve"> a</w:t>
      </w:r>
      <w:r w:rsidRPr="00B850AB">
        <w:rPr>
          <w:rFonts w:ascii="Tw Cen MT" w:eastAsia="Times New Roman" w:hAnsi="Tw Cen MT" w:cs="Segoe UI"/>
          <w:color w:val="242424"/>
          <w:sz w:val="18"/>
          <w:szCs w:val="18"/>
          <w:shd w:val="clear" w:color="auto" w:fill="FFFFFF"/>
        </w:rPr>
        <w:t>nd the</w:t>
      </w:r>
      <w:r w:rsidRPr="00B850AB">
        <w:rPr>
          <w:rFonts w:ascii="Tw Cen MT" w:eastAsia="Times New Roman" w:hAnsi="Tw Cen MT" w:cs="Segoe UI"/>
          <w:color w:val="242424"/>
          <w:sz w:val="18"/>
          <w:szCs w:val="18"/>
          <w:shd w:val="clear" w:color="auto" w:fill="FFFFFF"/>
        </w:rPr>
        <w:t xml:space="preserve"> Great White Sharks Futsal Team</w:t>
      </w:r>
      <w:r w:rsidRPr="00B850AB">
        <w:rPr>
          <w:rFonts w:ascii="Tw Cen MT" w:eastAsia="Times New Roman" w:hAnsi="Tw Cen MT" w:cs="Segoe UI"/>
          <w:color w:val="242424"/>
          <w:sz w:val="18"/>
          <w:szCs w:val="18"/>
        </w:rPr>
        <w:br/>
      </w:r>
      <w:r w:rsidRPr="00B850AB">
        <w:rPr>
          <w:rFonts w:ascii="Tw Cen MT" w:eastAsia="Times New Roman" w:hAnsi="Tw Cen MT" w:cs="Segoe UI"/>
          <w:color w:val="242424"/>
          <w:sz w:val="18"/>
          <w:szCs w:val="18"/>
          <w:shd w:val="clear" w:color="auto" w:fill="FFFFFF"/>
        </w:rPr>
        <w:t>Represented Worcestershire County Cricket Tea</w:t>
      </w:r>
      <w:r w:rsidRPr="00B850AB">
        <w:rPr>
          <w:rFonts w:ascii="Tw Cen MT" w:eastAsia="Times New Roman" w:hAnsi="Tw Cen MT" w:cs="Segoe UI"/>
          <w:color w:val="242424"/>
          <w:sz w:val="18"/>
          <w:szCs w:val="18"/>
          <w:shd w:val="clear" w:color="auto" w:fill="FFFFFF"/>
        </w:rPr>
        <w:t xml:space="preserve">m, </w:t>
      </w:r>
      <w:r w:rsidRPr="00B850AB">
        <w:rPr>
          <w:rFonts w:ascii="Tw Cen MT" w:eastAsia="Times New Roman" w:hAnsi="Tw Cen MT" w:cs="Segoe UI"/>
          <w:color w:val="242424"/>
          <w:sz w:val="18"/>
          <w:szCs w:val="18"/>
          <w:shd w:val="clear" w:color="auto" w:fill="FFFFFF"/>
        </w:rPr>
        <w:t>Northampton County Cricket Team</w:t>
      </w:r>
      <w:r w:rsidRPr="00B850AB">
        <w:rPr>
          <w:rFonts w:ascii="Tw Cen MT" w:eastAsia="Times New Roman" w:hAnsi="Tw Cen MT" w:cs="Segoe UI"/>
          <w:color w:val="242424"/>
          <w:sz w:val="18"/>
          <w:szCs w:val="18"/>
        </w:rPr>
        <w:t xml:space="preserve"> and a </w:t>
      </w:r>
      <w:r w:rsidRPr="00B850AB">
        <w:rPr>
          <w:rFonts w:ascii="Tw Cen MT" w:eastAsia="Times New Roman" w:hAnsi="Tw Cen MT" w:cs="Segoe UI"/>
          <w:color w:val="242424"/>
          <w:sz w:val="18"/>
          <w:szCs w:val="18"/>
          <w:shd w:val="clear" w:color="auto" w:fill="FFFFFF"/>
        </w:rPr>
        <w:t>Member of Marylebone Cricket Team</w:t>
      </w:r>
      <w:r w:rsidRPr="00B850AB">
        <w:rPr>
          <w:rFonts w:ascii="Tw Cen MT" w:eastAsia="Times New Roman" w:hAnsi="Tw Cen MT" w:cs="Segoe UI"/>
          <w:color w:val="242424"/>
          <w:sz w:val="18"/>
          <w:szCs w:val="18"/>
        </w:rPr>
        <w:br/>
      </w:r>
      <w:r w:rsidRPr="00B850AB">
        <w:rPr>
          <w:rFonts w:ascii="Tw Cen MT" w:eastAsia="Times New Roman" w:hAnsi="Tw Cen MT" w:cs="Segoe UI"/>
          <w:color w:val="242424"/>
          <w:sz w:val="18"/>
          <w:szCs w:val="18"/>
          <w:shd w:val="clear" w:color="auto" w:fill="FFFFFF"/>
        </w:rPr>
        <w:t>Salma has s</w:t>
      </w:r>
      <w:r w:rsidRPr="00B850AB">
        <w:rPr>
          <w:rFonts w:ascii="Tw Cen MT" w:eastAsia="Times New Roman" w:hAnsi="Tw Cen MT" w:cs="Segoe UI"/>
          <w:color w:val="242424"/>
          <w:sz w:val="18"/>
          <w:szCs w:val="18"/>
          <w:shd w:val="clear" w:color="auto" w:fill="FFFFFF"/>
        </w:rPr>
        <w:t xml:space="preserve">et up Al-Fazal Ambulance </w:t>
      </w:r>
      <w:r w:rsidRPr="00B850AB">
        <w:rPr>
          <w:rFonts w:ascii="Tw Cen MT" w:eastAsia="Times New Roman" w:hAnsi="Tw Cen MT" w:cs="Segoe UI"/>
          <w:color w:val="242424"/>
          <w:sz w:val="18"/>
          <w:szCs w:val="18"/>
          <w:shd w:val="clear" w:color="auto" w:fill="FFFFFF"/>
        </w:rPr>
        <w:t>in Pakistan providing free medical services to the citizens.</w:t>
      </w:r>
      <w:r w:rsidRPr="00B850AB">
        <w:rPr>
          <w:rFonts w:ascii="Tw Cen MT" w:eastAsia="Times New Roman" w:hAnsi="Tw Cen MT" w:cs="Segoe UI"/>
          <w:color w:val="242424"/>
          <w:sz w:val="18"/>
          <w:szCs w:val="18"/>
        </w:rPr>
        <w:br/>
      </w:r>
      <w:r w:rsidRPr="00B850AB">
        <w:rPr>
          <w:rFonts w:ascii="Tw Cen MT" w:eastAsia="Times New Roman" w:hAnsi="Tw Cen MT" w:cs="Segoe UI"/>
          <w:color w:val="242424"/>
          <w:sz w:val="18"/>
          <w:szCs w:val="18"/>
          <w:shd w:val="clear" w:color="auto" w:fill="FFFFFF"/>
        </w:rPr>
        <w:t>British Citizen Award Services to Education BCAe</w:t>
      </w:r>
      <w:r w:rsidRPr="00B850AB">
        <w:rPr>
          <w:rFonts w:ascii="Tw Cen MT" w:eastAsia="Times New Roman" w:hAnsi="Tw Cen MT" w:cs="Segoe UI"/>
          <w:color w:val="242424"/>
          <w:sz w:val="18"/>
          <w:szCs w:val="18"/>
        </w:rPr>
        <w:t xml:space="preserve">; </w:t>
      </w:r>
      <w:r w:rsidRPr="00B850AB">
        <w:rPr>
          <w:rFonts w:ascii="Tw Cen MT" w:eastAsia="Times New Roman" w:hAnsi="Tw Cen MT" w:cs="Segoe UI"/>
          <w:color w:val="242424"/>
          <w:sz w:val="18"/>
          <w:szCs w:val="18"/>
          <w:shd w:val="clear" w:color="auto" w:fill="FFFFFF"/>
        </w:rPr>
        <w:t>British Empire Medal Services to Cricket &amp; Diversity BEM</w:t>
      </w:r>
      <w:r w:rsidRPr="00B850AB">
        <w:rPr>
          <w:rFonts w:ascii="Tw Cen MT" w:eastAsia="Times New Roman" w:hAnsi="Tw Cen MT" w:cs="Segoe UI"/>
          <w:color w:val="242424"/>
          <w:sz w:val="18"/>
          <w:szCs w:val="18"/>
        </w:rPr>
        <w:br/>
      </w:r>
      <w:r w:rsidRPr="00B850AB">
        <w:rPr>
          <w:rFonts w:ascii="Tw Cen MT" w:eastAsia="Times New Roman" w:hAnsi="Tw Cen MT" w:cs="Segoe UI"/>
          <w:color w:val="242424"/>
          <w:sz w:val="18"/>
          <w:szCs w:val="18"/>
          <w:shd w:val="clear" w:color="auto" w:fill="FFFFFF"/>
        </w:rPr>
        <w:t>Hometown Hero</w:t>
      </w:r>
      <w:r w:rsidRPr="00B850AB">
        <w:rPr>
          <w:rFonts w:ascii="Tw Cen MT" w:eastAsia="Times New Roman" w:hAnsi="Tw Cen MT" w:cs="Segoe UI"/>
          <w:color w:val="242424"/>
          <w:sz w:val="18"/>
          <w:szCs w:val="18"/>
          <w:shd w:val="clear" w:color="auto" w:fill="FFFFFF"/>
        </w:rPr>
        <w:t xml:space="preserve"> &amp; Ambassador</w:t>
      </w:r>
      <w:r w:rsidRPr="00B850AB">
        <w:rPr>
          <w:rFonts w:ascii="Tw Cen MT" w:eastAsia="Times New Roman" w:hAnsi="Tw Cen MT" w:cs="Segoe UI"/>
          <w:color w:val="242424"/>
          <w:sz w:val="18"/>
          <w:szCs w:val="18"/>
          <w:shd w:val="clear" w:color="auto" w:fill="FFFFFF"/>
        </w:rPr>
        <w:t xml:space="preserve"> Birmingham Commonwealth Games 2022</w:t>
      </w:r>
      <w:r w:rsidRPr="00B850AB">
        <w:rPr>
          <w:rFonts w:ascii="Tw Cen MT" w:eastAsia="Times New Roman" w:hAnsi="Tw Cen MT" w:cs="Segoe UI"/>
          <w:color w:val="242424"/>
          <w:sz w:val="18"/>
          <w:szCs w:val="18"/>
        </w:rPr>
        <w:br/>
      </w:r>
      <w:r w:rsidRPr="00B850AB">
        <w:rPr>
          <w:rFonts w:ascii="Tw Cen MT" w:eastAsia="Times New Roman" w:hAnsi="Tw Cen MT" w:cs="Segoe UI"/>
          <w:color w:val="242424"/>
          <w:sz w:val="18"/>
          <w:szCs w:val="18"/>
          <w:shd w:val="clear" w:color="auto" w:fill="FFFFFF"/>
        </w:rPr>
        <w:t>Public Speaker Women Empowerment</w:t>
      </w:r>
      <w:r w:rsidRPr="00B850AB">
        <w:rPr>
          <w:rFonts w:ascii="Tw Cen MT" w:eastAsia="Times New Roman" w:hAnsi="Tw Cen MT" w:cs="Segoe UI"/>
          <w:color w:val="242424"/>
          <w:sz w:val="18"/>
          <w:szCs w:val="18"/>
        </w:rPr>
        <w:t xml:space="preserve">, </w:t>
      </w:r>
      <w:r w:rsidRPr="00B850AB">
        <w:rPr>
          <w:rFonts w:ascii="Tw Cen MT" w:eastAsia="Times New Roman" w:hAnsi="Tw Cen MT" w:cs="Segoe UI"/>
          <w:color w:val="242424"/>
          <w:sz w:val="18"/>
          <w:szCs w:val="18"/>
          <w:shd w:val="clear" w:color="auto" w:fill="FFFFFF"/>
        </w:rPr>
        <w:t>Raising Awareness on Vitiligo &amp; Mental Health</w:t>
      </w:r>
      <w:r w:rsidRPr="00B850AB">
        <w:rPr>
          <w:rFonts w:ascii="Tw Cen MT" w:eastAsia="Times New Roman" w:hAnsi="Tw Cen MT" w:cs="Segoe UI"/>
          <w:color w:val="242424"/>
          <w:sz w:val="18"/>
          <w:szCs w:val="18"/>
          <w:shd w:val="clear" w:color="auto" w:fill="FFFFFF"/>
        </w:rPr>
        <w:t>.</w:t>
      </w:r>
    </w:p>
    <w:p w:rsidR="00AE3E37" w:rsidRPr="00B850AB" w:rsidRDefault="00AE3E37" w:rsidP="00B850AB">
      <w:pPr>
        <w:spacing w:before="62"/>
        <w:ind w:right="4235"/>
        <w:rPr>
          <w:rFonts w:ascii="Arial"/>
          <w:sz w:val="14"/>
          <w:lang w:val="en-GB"/>
        </w:rPr>
      </w:pPr>
    </w:p>
    <w:p w:rsidR="00FE6281" w:rsidRPr="00B850AB" w:rsidRDefault="00FE6281" w:rsidP="00FE6281">
      <w:pPr>
        <w:spacing w:before="62"/>
        <w:ind w:left="4217" w:right="4235"/>
        <w:rPr>
          <w:rFonts w:ascii="Arial"/>
          <w:sz w:val="14"/>
          <w:lang w:val="en-GB"/>
        </w:rPr>
      </w:pPr>
      <w:hyperlink r:id="rId11" w:history="1">
        <w:r w:rsidRPr="00B850AB">
          <w:rPr>
            <w:rStyle w:val="Hyperlink"/>
            <w:rFonts w:ascii="Arial"/>
            <w:sz w:val="14"/>
            <w:lang w:val="en-GB"/>
          </w:rPr>
          <w:t>salma.biz@hotmail.co.uk</w:t>
        </w:r>
      </w:hyperlink>
    </w:p>
    <w:p w:rsidR="00AE3E37" w:rsidRPr="00B850AB" w:rsidRDefault="00292ED9" w:rsidP="00B850AB">
      <w:pPr>
        <w:pStyle w:val="BodyText"/>
        <w:spacing w:before="2"/>
        <w:rPr>
          <w:rFonts w:ascii="Arial"/>
          <w:sz w:val="19"/>
          <w:lang w:val="en-GB"/>
        </w:rPr>
        <w:sectPr w:rsidR="00AE3E37" w:rsidRPr="00B850AB">
          <w:type w:val="continuous"/>
          <w:pgSz w:w="11910" w:h="16840"/>
          <w:pgMar w:top="1740" w:right="600" w:bottom="840" w:left="620" w:header="720" w:footer="720" w:gutter="0"/>
          <w:cols w:space="720"/>
        </w:sectPr>
      </w:pPr>
      <w:bookmarkStart w:id="0" w:name="_GoBack"/>
      <w:bookmarkEnd w:id="0"/>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AC6C9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850AB" w:rsidRDefault="00AE3E37">
      <w:pPr>
        <w:pStyle w:val="BodyText"/>
        <w:spacing w:before="3"/>
        <w:rPr>
          <w:rFonts w:ascii="Minion Pro"/>
          <w:sz w:val="26"/>
          <w:lang w:val="en-GB"/>
        </w:rPr>
      </w:pPr>
    </w:p>
    <w:sectPr w:rsidR="00AE3E37" w:rsidRPr="00B850A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5E47" w:rsidRDefault="00925E47">
      <w:r>
        <w:separator/>
      </w:r>
    </w:p>
  </w:endnote>
  <w:endnote w:type="continuationSeparator" w:id="0">
    <w:p w:rsidR="00925E47" w:rsidRDefault="00925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5E47" w:rsidRDefault="00925E47">
      <w:r>
        <w:separator/>
      </w:r>
    </w:p>
  </w:footnote>
  <w:footnote w:type="continuationSeparator" w:id="0">
    <w:p w:rsidR="00925E47" w:rsidRDefault="00925E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FA6445" w:rsidRDefault="00A9710C">
                          <w:pPr>
                            <w:spacing w:before="2" w:line="249" w:lineRule="auto"/>
                            <w:ind w:left="156" w:right="18" w:hanging="137"/>
                            <w:rPr>
                              <w:rFonts w:ascii="Arial"/>
                              <w:color w:val="FFFFFF" w:themeColor="background1"/>
                              <w:sz w:val="14"/>
                              <w:lang w:val="fr-FR"/>
                            </w:rPr>
                          </w:pPr>
                          <w:r w:rsidRPr="00FA6445">
                            <w:rPr>
                              <w:rFonts w:ascii="Arial"/>
                              <w:color w:val="FFFFFF" w:themeColor="background1"/>
                              <w:sz w:val="14"/>
                              <w:lang w:val="fr-FR"/>
                            </w:rPr>
                            <w:t xml:space="preserve">T Furuta et al., J Pai n Relief 2016, 5:3(Suppl) </w:t>
                          </w:r>
                          <w:r w:rsidR="00925E47">
                            <w:fldChar w:fldCharType="begin"/>
                          </w:r>
                          <w:r w:rsidR="00925E47" w:rsidRPr="00FA6445">
                            <w:rPr>
                              <w:lang w:val="fr-FR"/>
                            </w:rPr>
                            <w:instrText xml:space="preserve"> HYPERLINK "http://dx.doi.org/10.4172/2167-0846.C1.006" \h </w:instrText>
                          </w:r>
                          <w:r w:rsidR="00925E47">
                            <w:fldChar w:fldCharType="separate"/>
                          </w:r>
                          <w:r w:rsidRPr="00FA6445">
                            <w:rPr>
                              <w:rFonts w:ascii="Arial"/>
                              <w:color w:val="FFFFFF" w:themeColor="background1"/>
                              <w:sz w:val="14"/>
                              <w:lang w:val="fr-FR"/>
                            </w:rPr>
                            <w:t>http://dx.doi.org/10.4172/2167-0846.C1.006</w:t>
                          </w:r>
                          <w:r w:rsidR="00925E47">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FA6445" w:rsidRDefault="00A9710C">
                    <w:pPr>
                      <w:spacing w:before="2" w:line="249" w:lineRule="auto"/>
                      <w:ind w:left="156" w:right="18" w:hanging="137"/>
                      <w:rPr>
                        <w:rFonts w:ascii="Arial"/>
                        <w:color w:val="FFFFFF" w:themeColor="background1"/>
                        <w:sz w:val="14"/>
                        <w:lang w:val="fr-FR"/>
                      </w:rPr>
                    </w:pPr>
                    <w:r w:rsidRPr="00FA6445">
                      <w:rPr>
                        <w:rFonts w:ascii="Arial"/>
                        <w:color w:val="FFFFFF" w:themeColor="background1"/>
                        <w:sz w:val="14"/>
                        <w:lang w:val="fr-FR"/>
                      </w:rPr>
                      <w:t xml:space="preserve">T Furuta et al., J Pai n Relief 2016, 5:3(Suppl) </w:t>
                    </w:r>
                    <w:r w:rsidR="00925E47">
                      <w:fldChar w:fldCharType="begin"/>
                    </w:r>
                    <w:r w:rsidR="00925E47" w:rsidRPr="00FA6445">
                      <w:rPr>
                        <w:lang w:val="fr-FR"/>
                      </w:rPr>
                      <w:instrText xml:space="preserve"> HYPERLINK "http://dx.doi.org/10.4172/2167-0846.C1.006" \h </w:instrText>
                    </w:r>
                    <w:r w:rsidR="00925E47">
                      <w:fldChar w:fldCharType="separate"/>
                    </w:r>
                    <w:r w:rsidRPr="00FA6445">
                      <w:rPr>
                        <w:rFonts w:ascii="Arial"/>
                        <w:color w:val="FFFFFF" w:themeColor="background1"/>
                        <w:sz w:val="14"/>
                        <w:lang w:val="fr-FR"/>
                      </w:rPr>
                      <w:t>http://dx.doi.org/10.4172/2167-0846.C1.006</w:t>
                    </w:r>
                    <w:r w:rsidR="00925E47">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0312C"/>
    <w:rsid w:val="00314AFB"/>
    <w:rsid w:val="003B15D9"/>
    <w:rsid w:val="003B76D9"/>
    <w:rsid w:val="00404E5B"/>
    <w:rsid w:val="00414F7B"/>
    <w:rsid w:val="004355DC"/>
    <w:rsid w:val="004749B4"/>
    <w:rsid w:val="00494130"/>
    <w:rsid w:val="004F3523"/>
    <w:rsid w:val="00586411"/>
    <w:rsid w:val="005973B9"/>
    <w:rsid w:val="005B3A56"/>
    <w:rsid w:val="006060CE"/>
    <w:rsid w:val="0063497F"/>
    <w:rsid w:val="0078738A"/>
    <w:rsid w:val="008556B9"/>
    <w:rsid w:val="00873DF0"/>
    <w:rsid w:val="008756E6"/>
    <w:rsid w:val="00925E47"/>
    <w:rsid w:val="00990B25"/>
    <w:rsid w:val="009B2D44"/>
    <w:rsid w:val="00A07E82"/>
    <w:rsid w:val="00A9710C"/>
    <w:rsid w:val="00AE3E37"/>
    <w:rsid w:val="00B21A57"/>
    <w:rsid w:val="00B850AB"/>
    <w:rsid w:val="00C33602"/>
    <w:rsid w:val="00CD6F55"/>
    <w:rsid w:val="00D32BC2"/>
    <w:rsid w:val="00D62425"/>
    <w:rsid w:val="00DE3104"/>
    <w:rsid w:val="00EB6FFD"/>
    <w:rsid w:val="00F41672"/>
    <w:rsid w:val="00F72EEA"/>
    <w:rsid w:val="00F8136A"/>
    <w:rsid w:val="00F84CAE"/>
    <w:rsid w:val="00FA6445"/>
    <w:rsid w:val="00FE6281"/>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C32F73"/>
  <w15:docId w15:val="{C1B6A11E-6EA6-418B-928F-0CCB63D82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FE6281"/>
    <w:rPr>
      <w:color w:val="605E5C"/>
      <w:shd w:val="clear" w:color="auto" w:fill="E1DFDD"/>
    </w:rPr>
  </w:style>
  <w:style w:type="paragraph" w:styleId="NoSpacing">
    <w:name w:val="No Spacing"/>
    <w:uiPriority w:val="1"/>
    <w:qFormat/>
    <w:rsid w:val="00F41672"/>
    <w:pPr>
      <w:widowControl/>
    </w:pPr>
    <w:rPr>
      <w:rFonts w:eastAsiaTheme="minorEastAsia"/>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lma.biz@hotmail.co.uk"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 Salma</cp:lastModifiedBy>
  <cp:revision>2</cp:revision>
  <cp:lastPrinted>2022-10-22T15:11:00Z</cp:lastPrinted>
  <dcterms:created xsi:type="dcterms:W3CDTF">2022-10-22T15:54:00Z</dcterms:created>
  <dcterms:modified xsi:type="dcterms:W3CDTF">2022-10-22T15:54:00Z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