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4C6A1" w14:textId="77777777" w:rsidR="00810E0C" w:rsidRPr="00DA1E80" w:rsidRDefault="00810E0C" w:rsidP="0046547E">
      <w:pPr>
        <w:autoSpaceDE w:val="0"/>
        <w:autoSpaceDN w:val="0"/>
        <w:adjustRightInd w:val="0"/>
        <w:spacing w:after="0" w:line="360" w:lineRule="auto"/>
        <w:jc w:val="center"/>
        <w:rPr>
          <w:rFonts w:ascii="Arial" w:hAnsi="Arial" w:cs="Arial"/>
          <w:b/>
          <w:bCs/>
          <w:color w:val="002060"/>
          <w:sz w:val="24"/>
          <w:szCs w:val="24"/>
        </w:rPr>
      </w:pPr>
      <w:r w:rsidRPr="00DA1E80">
        <w:rPr>
          <w:rFonts w:ascii="Arial" w:hAnsi="Arial" w:cs="Arial"/>
          <w:b/>
          <w:bCs/>
          <w:color w:val="002060"/>
          <w:sz w:val="24"/>
          <w:szCs w:val="24"/>
        </w:rPr>
        <w:t>Unravelling the utility of modern sulfonylureas from cardiovascular</w:t>
      </w:r>
    </w:p>
    <w:p w14:paraId="13D6A5AE" w14:textId="280C61E4" w:rsidR="00E6342C" w:rsidRPr="00DA1E80" w:rsidRDefault="00810E0C" w:rsidP="0046547E">
      <w:pPr>
        <w:spacing w:line="360" w:lineRule="auto"/>
        <w:jc w:val="center"/>
        <w:rPr>
          <w:rFonts w:ascii="Arial" w:hAnsi="Arial" w:cs="Arial"/>
          <w:b/>
          <w:bCs/>
          <w:color w:val="002060"/>
          <w:sz w:val="24"/>
          <w:szCs w:val="24"/>
        </w:rPr>
      </w:pPr>
      <w:r w:rsidRPr="00DA1E80">
        <w:rPr>
          <w:rFonts w:ascii="Arial" w:hAnsi="Arial" w:cs="Arial"/>
          <w:b/>
          <w:bCs/>
          <w:color w:val="002060"/>
          <w:sz w:val="24"/>
          <w:szCs w:val="24"/>
        </w:rPr>
        <w:t>outcome trials and landmark trials</w:t>
      </w:r>
    </w:p>
    <w:p w14:paraId="7E143B85" w14:textId="489CA90A" w:rsidR="00945E65" w:rsidRPr="00DA1E80" w:rsidRDefault="00945E65" w:rsidP="0046547E">
      <w:pPr>
        <w:spacing w:line="360" w:lineRule="auto"/>
        <w:jc w:val="both"/>
        <w:rPr>
          <w:rFonts w:ascii="Arial" w:hAnsi="Arial" w:cs="Arial"/>
          <w:b/>
          <w:bCs/>
          <w:sz w:val="18"/>
          <w:szCs w:val="18"/>
        </w:rPr>
      </w:pPr>
      <w:r w:rsidRPr="00DA1E80">
        <w:rPr>
          <w:rFonts w:ascii="Arial" w:hAnsi="Arial" w:cs="Arial"/>
          <w:b/>
          <w:bCs/>
          <w:sz w:val="18"/>
          <w:szCs w:val="18"/>
        </w:rPr>
        <w:t>Dr Khalid Shaikh</w:t>
      </w:r>
      <w:r w:rsidR="005E30B9" w:rsidRPr="00DA1E80">
        <w:rPr>
          <w:rFonts w:ascii="Arial" w:hAnsi="Arial" w:cs="Arial"/>
          <w:b/>
          <w:bCs/>
          <w:sz w:val="18"/>
          <w:szCs w:val="18"/>
        </w:rPr>
        <w:t>, Specialist Internal Medicine and Diabetes, Oman</w:t>
      </w:r>
    </w:p>
    <w:p w14:paraId="3B988A20" w14:textId="5D626711" w:rsidR="00810E0C" w:rsidRPr="00DA1E80" w:rsidRDefault="00810E0C" w:rsidP="0046547E">
      <w:pPr>
        <w:spacing w:line="360" w:lineRule="auto"/>
        <w:jc w:val="both"/>
        <w:rPr>
          <w:rFonts w:ascii="Arial" w:hAnsi="Arial" w:cs="Arial"/>
          <w:b/>
          <w:bCs/>
          <w:color w:val="833C0B" w:themeColor="accent2" w:themeShade="80"/>
        </w:rPr>
      </w:pPr>
      <w:r w:rsidRPr="00DA1E80">
        <w:rPr>
          <w:rFonts w:ascii="Arial" w:hAnsi="Arial" w:cs="Arial"/>
          <w:b/>
          <w:bCs/>
          <w:color w:val="833C0B" w:themeColor="accent2" w:themeShade="80"/>
        </w:rPr>
        <w:t>A b s t r a c t</w:t>
      </w:r>
    </w:p>
    <w:p w14:paraId="2E298982" w14:textId="77777777" w:rsidR="00810E0C" w:rsidRPr="00DA1E80" w:rsidRDefault="00810E0C" w:rsidP="0046547E">
      <w:pPr>
        <w:spacing w:line="360" w:lineRule="auto"/>
        <w:jc w:val="both"/>
        <w:rPr>
          <w:rFonts w:ascii="Arial" w:hAnsi="Arial" w:cs="Arial"/>
          <w:b/>
          <w:bCs/>
        </w:rPr>
      </w:pPr>
      <w:r w:rsidRPr="00DA1E80">
        <w:rPr>
          <w:rFonts w:ascii="Arial" w:hAnsi="Arial" w:cs="Arial"/>
          <w:b/>
          <w:bCs/>
        </w:rPr>
        <w:t xml:space="preserve">Aim: </w:t>
      </w:r>
    </w:p>
    <w:p w14:paraId="65F7BA20" w14:textId="51F3977B" w:rsidR="00810E0C" w:rsidRPr="00DA1E80" w:rsidRDefault="00810E0C" w:rsidP="0046547E">
      <w:pPr>
        <w:spacing w:line="360" w:lineRule="auto"/>
        <w:jc w:val="both"/>
        <w:rPr>
          <w:rFonts w:ascii="Arial" w:hAnsi="Arial" w:cs="Arial"/>
        </w:rPr>
      </w:pPr>
      <w:r w:rsidRPr="00DA1E80">
        <w:rPr>
          <w:rFonts w:ascii="Arial" w:hAnsi="Arial" w:cs="Arial"/>
        </w:rPr>
        <w:t xml:space="preserve">The primary objective of this review </w:t>
      </w:r>
      <w:r w:rsidR="004E78CB" w:rsidRPr="00DA1E80">
        <w:rPr>
          <w:rFonts w:ascii="Arial" w:hAnsi="Arial" w:cs="Arial"/>
        </w:rPr>
        <w:t>wa</w:t>
      </w:r>
      <w:r w:rsidRPr="00DA1E80">
        <w:rPr>
          <w:rFonts w:ascii="Arial" w:hAnsi="Arial" w:cs="Arial"/>
        </w:rPr>
        <w:t>s to develop practice-based expert group opinions on the</w:t>
      </w:r>
    </w:p>
    <w:p w14:paraId="4B7663C5" w14:textId="10BC6365" w:rsidR="00810E0C" w:rsidRPr="00DA1E80" w:rsidRDefault="00810E0C" w:rsidP="0046547E">
      <w:pPr>
        <w:spacing w:line="360" w:lineRule="auto"/>
        <w:jc w:val="both"/>
        <w:rPr>
          <w:rFonts w:ascii="Arial" w:hAnsi="Arial" w:cs="Arial"/>
        </w:rPr>
      </w:pPr>
      <w:r w:rsidRPr="00DA1E80">
        <w:rPr>
          <w:rFonts w:ascii="Arial" w:hAnsi="Arial" w:cs="Arial"/>
        </w:rPr>
        <w:t>cardiovascular (CV) safety and utility of modern sulfonylureas (SUs) in cardiovascular outcome trials</w:t>
      </w:r>
      <w:r w:rsidR="0028124A" w:rsidRPr="00DA1E80">
        <w:rPr>
          <w:rFonts w:ascii="Arial" w:hAnsi="Arial" w:cs="Arial"/>
        </w:rPr>
        <w:t xml:space="preserve"> </w:t>
      </w:r>
      <w:r w:rsidRPr="00DA1E80">
        <w:rPr>
          <w:rFonts w:ascii="Arial" w:hAnsi="Arial" w:cs="Arial"/>
        </w:rPr>
        <w:t>(CVOTs).</w:t>
      </w:r>
    </w:p>
    <w:p w14:paraId="45BE72F2" w14:textId="77777777" w:rsidR="00810E0C" w:rsidRPr="00DA1E80" w:rsidRDefault="00810E0C" w:rsidP="0046547E">
      <w:pPr>
        <w:spacing w:line="360" w:lineRule="auto"/>
        <w:jc w:val="both"/>
        <w:rPr>
          <w:rFonts w:ascii="Arial" w:hAnsi="Arial" w:cs="Arial"/>
          <w:b/>
          <w:bCs/>
        </w:rPr>
      </w:pPr>
      <w:r w:rsidRPr="00DA1E80">
        <w:rPr>
          <w:rFonts w:ascii="Arial" w:hAnsi="Arial" w:cs="Arial"/>
          <w:b/>
          <w:bCs/>
        </w:rPr>
        <w:t xml:space="preserve">Background: </w:t>
      </w:r>
    </w:p>
    <w:p w14:paraId="17DE54E9" w14:textId="37474F6A" w:rsidR="00810E0C" w:rsidRPr="00DA1E80" w:rsidRDefault="00810E0C" w:rsidP="0046547E">
      <w:pPr>
        <w:spacing w:line="360" w:lineRule="auto"/>
        <w:jc w:val="both"/>
        <w:rPr>
          <w:rFonts w:ascii="Arial" w:hAnsi="Arial" w:cs="Arial"/>
        </w:rPr>
      </w:pPr>
      <w:r w:rsidRPr="00DA1E80">
        <w:rPr>
          <w:rFonts w:ascii="Arial" w:hAnsi="Arial" w:cs="Arial"/>
        </w:rPr>
        <w:t>The United States Food and Drug Administration issued new guidance to the pharmaceutical</w:t>
      </w:r>
    </w:p>
    <w:p w14:paraId="476C280A" w14:textId="77777777" w:rsidR="00810E0C" w:rsidRPr="00DA1E80" w:rsidRDefault="00810E0C" w:rsidP="0046547E">
      <w:pPr>
        <w:spacing w:line="360" w:lineRule="auto"/>
        <w:jc w:val="both"/>
        <w:rPr>
          <w:rFonts w:ascii="Arial" w:hAnsi="Arial" w:cs="Arial"/>
        </w:rPr>
      </w:pPr>
      <w:r w:rsidRPr="00DA1E80">
        <w:rPr>
          <w:rFonts w:ascii="Arial" w:hAnsi="Arial" w:cs="Arial"/>
        </w:rPr>
        <w:t>industry in 2008 regarding the development of new antihyperglycemic drugs. The guidance</w:t>
      </w:r>
    </w:p>
    <w:p w14:paraId="2B25450E" w14:textId="2425971F" w:rsidR="00810E0C" w:rsidRPr="00DA1E80" w:rsidRDefault="00810E0C" w:rsidP="0046547E">
      <w:pPr>
        <w:spacing w:line="360" w:lineRule="auto"/>
        <w:jc w:val="both"/>
        <w:rPr>
          <w:rFonts w:ascii="Arial" w:hAnsi="Arial" w:cs="Arial"/>
        </w:rPr>
      </w:pPr>
      <w:r w:rsidRPr="00DA1E80">
        <w:rPr>
          <w:rFonts w:ascii="Arial" w:hAnsi="Arial" w:cs="Arial"/>
        </w:rPr>
        <w:t>expanded the scope for the approval of novel antihyperglycemic drugs by mandating CVOTs for safety. A</w:t>
      </w:r>
      <w:r w:rsidR="0028124A" w:rsidRPr="00DA1E80">
        <w:rPr>
          <w:rFonts w:ascii="Arial" w:hAnsi="Arial" w:cs="Arial"/>
        </w:rPr>
        <w:t xml:space="preserve"> </w:t>
      </w:r>
      <w:r w:rsidRPr="00DA1E80">
        <w:rPr>
          <w:rFonts w:ascii="Arial" w:hAnsi="Arial" w:cs="Arial"/>
        </w:rPr>
        <w:t>few long-term CVOTs on dipeptidyl peptidase 4 inhibitors, glucagon-like peptide 1 receptor agonists, and</w:t>
      </w:r>
      <w:r w:rsidR="0028124A" w:rsidRPr="00DA1E80">
        <w:rPr>
          <w:rFonts w:ascii="Arial" w:hAnsi="Arial" w:cs="Arial"/>
        </w:rPr>
        <w:t xml:space="preserve"> </w:t>
      </w:r>
      <w:r w:rsidRPr="00DA1E80">
        <w:rPr>
          <w:rFonts w:ascii="Arial" w:hAnsi="Arial" w:cs="Arial"/>
        </w:rPr>
        <w:t>sodium-glucose cotransporter 2 inhibitors have been completed, while others are ongoing. SUs, which constitute one of the key antihyperglycemic agents used for the management of type 2 diabetes mellitus (T2DM), have been used as comparator agents in several CVOTs. However, the need for CVOTs on modern SUs remains debatable. In this context, a multinational group of endocrinologists convened for a meeting and discussed the need for CVOTs of modern SUs to evaluate their utility in the management of patients with T2DM. At the meeting, CVOTs of modern SUs conducted to date and the hypotheses derived from the results of these trials were discussed.</w:t>
      </w:r>
    </w:p>
    <w:p w14:paraId="41A31BF6" w14:textId="77777777" w:rsidR="00810E0C" w:rsidRPr="00DA1E80" w:rsidRDefault="00810E0C" w:rsidP="0046547E">
      <w:pPr>
        <w:spacing w:line="360" w:lineRule="auto"/>
        <w:jc w:val="both"/>
        <w:rPr>
          <w:rFonts w:ascii="Arial" w:hAnsi="Arial" w:cs="Arial"/>
          <w:b/>
          <w:bCs/>
        </w:rPr>
      </w:pPr>
      <w:r w:rsidRPr="00DA1E80">
        <w:rPr>
          <w:rFonts w:ascii="Arial" w:hAnsi="Arial" w:cs="Arial"/>
          <w:b/>
          <w:bCs/>
        </w:rPr>
        <w:t xml:space="preserve">Review results: </w:t>
      </w:r>
    </w:p>
    <w:p w14:paraId="4FD6EA13" w14:textId="184246CE" w:rsidR="00810E0C" w:rsidRPr="00DA1E80" w:rsidRDefault="00810E0C" w:rsidP="0046547E">
      <w:pPr>
        <w:spacing w:line="360" w:lineRule="auto"/>
        <w:jc w:val="both"/>
        <w:rPr>
          <w:rFonts w:ascii="Arial" w:hAnsi="Arial" w:cs="Arial"/>
        </w:rPr>
      </w:pPr>
      <w:r w:rsidRPr="00DA1E80">
        <w:rPr>
          <w:rFonts w:ascii="Arial" w:hAnsi="Arial" w:cs="Arial"/>
        </w:rPr>
        <w:t>The expert group analyzed the key trials emphasizing the CV safety of modern SUs and</w:t>
      </w:r>
    </w:p>
    <w:p w14:paraId="46F06147" w14:textId="4F5961C3" w:rsidR="00810E0C" w:rsidRPr="00DA1E80" w:rsidRDefault="00810E0C" w:rsidP="0046547E">
      <w:pPr>
        <w:spacing w:line="360" w:lineRule="auto"/>
        <w:jc w:val="both"/>
        <w:rPr>
          <w:rFonts w:ascii="Arial" w:hAnsi="Arial" w:cs="Arial"/>
        </w:rPr>
      </w:pPr>
      <w:r w:rsidRPr="00DA1E80">
        <w:rPr>
          <w:rFonts w:ascii="Arial" w:hAnsi="Arial" w:cs="Arial"/>
        </w:rPr>
        <w:t>also reviewed the results of various CVOTs in which modern SUs were used as comparators. Based on</w:t>
      </w:r>
      <w:r w:rsidR="0028124A" w:rsidRPr="00DA1E80">
        <w:rPr>
          <w:rFonts w:ascii="Arial" w:hAnsi="Arial" w:cs="Arial"/>
        </w:rPr>
        <w:t xml:space="preserve"> </w:t>
      </w:r>
      <w:r w:rsidRPr="00DA1E80">
        <w:rPr>
          <w:rFonts w:ascii="Arial" w:hAnsi="Arial" w:cs="Arial"/>
        </w:rPr>
        <w:t>literature evidence and individual clinical insights, the expert group opined that modern SUs are cardio-safe and that since they have been used as comparators in other CVOTs, CVOTs of SUs are not required.</w:t>
      </w:r>
    </w:p>
    <w:p w14:paraId="709BE8FE" w14:textId="77777777" w:rsidR="0046547E" w:rsidRDefault="0046547E" w:rsidP="0046547E">
      <w:pPr>
        <w:spacing w:line="360" w:lineRule="auto"/>
        <w:jc w:val="both"/>
        <w:rPr>
          <w:rFonts w:ascii="Arial" w:hAnsi="Arial" w:cs="Arial"/>
          <w:b/>
          <w:bCs/>
        </w:rPr>
      </w:pPr>
    </w:p>
    <w:p w14:paraId="2E35CCA3" w14:textId="77777777" w:rsidR="0046547E" w:rsidRDefault="0046547E" w:rsidP="0046547E">
      <w:pPr>
        <w:spacing w:line="360" w:lineRule="auto"/>
        <w:jc w:val="both"/>
        <w:rPr>
          <w:rFonts w:ascii="Arial" w:hAnsi="Arial" w:cs="Arial"/>
          <w:b/>
          <w:bCs/>
        </w:rPr>
      </w:pPr>
    </w:p>
    <w:p w14:paraId="0B5E2F40" w14:textId="28465BA0" w:rsidR="00810E0C" w:rsidRPr="00DA1E80" w:rsidRDefault="00810E0C" w:rsidP="0046547E">
      <w:pPr>
        <w:spacing w:line="360" w:lineRule="auto"/>
        <w:jc w:val="both"/>
        <w:rPr>
          <w:rFonts w:ascii="Arial" w:hAnsi="Arial" w:cs="Arial"/>
          <w:b/>
          <w:bCs/>
        </w:rPr>
      </w:pPr>
      <w:r w:rsidRPr="00DA1E80">
        <w:rPr>
          <w:rFonts w:ascii="Arial" w:hAnsi="Arial" w:cs="Arial"/>
          <w:b/>
          <w:bCs/>
        </w:rPr>
        <w:t xml:space="preserve">Conclusion: </w:t>
      </w:r>
    </w:p>
    <w:p w14:paraId="0ED0B6E4" w14:textId="2400E1F4" w:rsidR="00810E0C" w:rsidRPr="00DA1E80" w:rsidRDefault="00810E0C" w:rsidP="0046547E">
      <w:pPr>
        <w:spacing w:line="360" w:lineRule="auto"/>
        <w:jc w:val="both"/>
        <w:rPr>
          <w:rFonts w:ascii="Arial" w:hAnsi="Arial" w:cs="Arial"/>
        </w:rPr>
      </w:pPr>
      <w:r w:rsidRPr="00DA1E80">
        <w:rPr>
          <w:rFonts w:ascii="Arial" w:hAnsi="Arial" w:cs="Arial"/>
        </w:rPr>
        <w:t>Modern SUs can be considered a cardio-safe option for the management of patients with</w:t>
      </w:r>
    </w:p>
    <w:p w14:paraId="63391E06" w14:textId="3351A169" w:rsidR="001E044F" w:rsidRPr="00DA1E80" w:rsidRDefault="00810E0C" w:rsidP="0046547E">
      <w:pPr>
        <w:spacing w:line="360" w:lineRule="auto"/>
        <w:jc w:val="both"/>
        <w:rPr>
          <w:rFonts w:ascii="Arial" w:hAnsi="Arial" w:cs="Arial"/>
        </w:rPr>
      </w:pPr>
      <w:r w:rsidRPr="00DA1E80">
        <w:rPr>
          <w:rFonts w:ascii="Arial" w:hAnsi="Arial" w:cs="Arial"/>
        </w:rPr>
        <w:t>diabetes mellitus and CV disease; thus, CVOTs among individuals with T2DM are not required</w:t>
      </w:r>
      <w:r w:rsidR="001E044F" w:rsidRPr="00DA1E80">
        <w:rPr>
          <w:rFonts w:ascii="Arial" w:hAnsi="Arial" w:cs="Arial"/>
        </w:rPr>
        <w:t>.</w:t>
      </w:r>
    </w:p>
    <w:p w14:paraId="1BFC47E2" w14:textId="77777777" w:rsidR="00DA1E80" w:rsidRDefault="00DA1E80" w:rsidP="0046547E">
      <w:pPr>
        <w:pStyle w:val="ListParagraph"/>
        <w:spacing w:line="360" w:lineRule="auto"/>
        <w:ind w:left="-90" w:firstLine="90"/>
        <w:jc w:val="both"/>
        <w:rPr>
          <w:rFonts w:ascii="Arial" w:hAnsi="Arial" w:cs="Arial"/>
          <w:b/>
          <w:color w:val="BF5A14"/>
          <w:sz w:val="20"/>
        </w:rPr>
      </w:pPr>
    </w:p>
    <w:p w14:paraId="5D977D0A" w14:textId="2EA21B41" w:rsidR="00E04CDF" w:rsidRPr="00DA1E80" w:rsidRDefault="00E04CDF" w:rsidP="0046547E">
      <w:pPr>
        <w:pStyle w:val="ListParagraph"/>
        <w:spacing w:line="360" w:lineRule="auto"/>
        <w:ind w:left="-90" w:firstLine="90"/>
        <w:jc w:val="both"/>
        <w:rPr>
          <w:rFonts w:ascii="Arial" w:hAnsi="Arial" w:cs="Arial"/>
          <w:b/>
          <w:color w:val="BF5A14"/>
          <w:sz w:val="20"/>
        </w:rPr>
      </w:pPr>
      <w:r w:rsidRPr="00DA1E80">
        <w:rPr>
          <w:rFonts w:ascii="Arial" w:hAnsi="Arial" w:cs="Arial"/>
          <w:b/>
          <w:color w:val="BF5A14"/>
          <w:sz w:val="20"/>
        </w:rPr>
        <w:t>Recent Publications</w:t>
      </w:r>
      <w:r w:rsidR="00DA1E80">
        <w:rPr>
          <w:rFonts w:ascii="Arial" w:hAnsi="Arial" w:cs="Arial"/>
          <w:b/>
          <w:color w:val="BF5A14"/>
          <w:sz w:val="20"/>
        </w:rPr>
        <w:t>:</w:t>
      </w:r>
    </w:p>
    <w:p w14:paraId="6A450E61" w14:textId="77777777" w:rsidR="00E04CDF" w:rsidRPr="00DA1E80" w:rsidRDefault="00E04CDF" w:rsidP="0046547E">
      <w:pPr>
        <w:pStyle w:val="ListParagraph"/>
        <w:spacing w:line="360" w:lineRule="auto"/>
        <w:jc w:val="both"/>
        <w:rPr>
          <w:rFonts w:ascii="Arial" w:hAnsi="Arial" w:cs="Arial"/>
        </w:rPr>
      </w:pPr>
    </w:p>
    <w:p w14:paraId="4850CA66" w14:textId="32BAC000" w:rsidR="00EB720D" w:rsidRPr="00DA1E80" w:rsidRDefault="00EB720D" w:rsidP="0046547E">
      <w:pPr>
        <w:pStyle w:val="ListParagraph"/>
        <w:numPr>
          <w:ilvl w:val="0"/>
          <w:numId w:val="3"/>
        </w:numPr>
        <w:spacing w:line="360" w:lineRule="auto"/>
        <w:rPr>
          <w:rFonts w:ascii="Arial" w:hAnsi="Arial" w:cs="Arial"/>
        </w:rPr>
      </w:pPr>
      <w:r w:rsidRPr="00DA1E80">
        <w:rPr>
          <w:rFonts w:ascii="Arial" w:hAnsi="Arial" w:cs="Arial"/>
        </w:rPr>
        <w:t>John M, Unnikrishnan AG, Kalra S, et al. Cardiovascular outcome trials for anti-diabetes</w:t>
      </w:r>
      <w:r w:rsidR="00536EFB" w:rsidRPr="00DA1E80">
        <w:rPr>
          <w:rFonts w:ascii="Arial" w:hAnsi="Arial" w:cs="Arial"/>
        </w:rPr>
        <w:t xml:space="preserve"> </w:t>
      </w:r>
      <w:r w:rsidRPr="00DA1E80">
        <w:rPr>
          <w:rFonts w:ascii="Arial" w:hAnsi="Arial" w:cs="Arial"/>
        </w:rPr>
        <w:t>medication: A holy grail of drug development? Indian Heart J. 2016;68(4):564–571.</w:t>
      </w:r>
    </w:p>
    <w:p w14:paraId="007C75EF" w14:textId="5EC560D9" w:rsidR="000B2E59" w:rsidRPr="00DA1E80" w:rsidRDefault="000B2E59" w:rsidP="0046547E">
      <w:pPr>
        <w:pStyle w:val="ListParagraph"/>
        <w:numPr>
          <w:ilvl w:val="0"/>
          <w:numId w:val="3"/>
        </w:numPr>
        <w:spacing w:line="360" w:lineRule="auto"/>
        <w:jc w:val="both"/>
        <w:rPr>
          <w:rFonts w:ascii="Arial" w:hAnsi="Arial" w:cs="Arial"/>
        </w:rPr>
      </w:pPr>
      <w:proofErr w:type="spellStart"/>
      <w:r w:rsidRPr="00DA1E80">
        <w:rPr>
          <w:rFonts w:ascii="Arial" w:hAnsi="Arial" w:cs="Arial"/>
        </w:rPr>
        <w:t>Cefalu</w:t>
      </w:r>
      <w:proofErr w:type="spellEnd"/>
      <w:r w:rsidRPr="00DA1E80">
        <w:rPr>
          <w:rFonts w:ascii="Arial" w:hAnsi="Arial" w:cs="Arial"/>
        </w:rPr>
        <w:t xml:space="preserve"> WT, Kaul S, Gerstein HC, et al. Cardiovascular Outcomes Trials in Type 2 Diabetes:</w:t>
      </w:r>
      <w:r w:rsidR="00536EFB" w:rsidRPr="00DA1E80">
        <w:rPr>
          <w:rFonts w:ascii="Arial" w:hAnsi="Arial" w:cs="Arial"/>
        </w:rPr>
        <w:t xml:space="preserve"> </w:t>
      </w:r>
      <w:r w:rsidRPr="00DA1E80">
        <w:rPr>
          <w:rFonts w:ascii="Arial" w:hAnsi="Arial" w:cs="Arial"/>
        </w:rPr>
        <w:t xml:space="preserve">Where Do We Go </w:t>
      </w:r>
      <w:r w:rsidR="00DA1E80" w:rsidRPr="00DA1E80">
        <w:rPr>
          <w:rFonts w:ascii="Arial" w:hAnsi="Arial" w:cs="Arial"/>
        </w:rPr>
        <w:t>from</w:t>
      </w:r>
      <w:r w:rsidRPr="00DA1E80">
        <w:rPr>
          <w:rFonts w:ascii="Arial" w:hAnsi="Arial" w:cs="Arial"/>
        </w:rPr>
        <w:t xml:space="preserve"> Here? Reflections </w:t>
      </w:r>
      <w:r w:rsidR="00DA1E80" w:rsidRPr="00DA1E80">
        <w:rPr>
          <w:rFonts w:ascii="Arial" w:hAnsi="Arial" w:cs="Arial"/>
        </w:rPr>
        <w:t>from</w:t>
      </w:r>
      <w:r w:rsidRPr="00DA1E80">
        <w:rPr>
          <w:rFonts w:ascii="Arial" w:hAnsi="Arial" w:cs="Arial"/>
        </w:rPr>
        <w:t xml:space="preserve"> a Diabetes Care Editors' Expert Forum. Diabetes Care. 2018 ;41(1):14-31.</w:t>
      </w:r>
    </w:p>
    <w:p w14:paraId="38B7F82E" w14:textId="0054375E" w:rsidR="009432CD" w:rsidRPr="00DA1E80" w:rsidRDefault="00CA27B5" w:rsidP="0046547E">
      <w:pPr>
        <w:pStyle w:val="ListParagraph"/>
        <w:numPr>
          <w:ilvl w:val="0"/>
          <w:numId w:val="3"/>
        </w:numPr>
        <w:spacing w:line="360" w:lineRule="auto"/>
        <w:jc w:val="both"/>
        <w:rPr>
          <w:rFonts w:ascii="Arial" w:hAnsi="Arial" w:cs="Arial"/>
        </w:rPr>
      </w:pPr>
      <w:r w:rsidRPr="00DA1E80">
        <w:rPr>
          <w:rFonts w:ascii="Arial" w:hAnsi="Arial" w:cs="Arial"/>
        </w:rPr>
        <w:t xml:space="preserve">Kalra, S., Das, A.K., Baruah, M.P. et al. </w:t>
      </w:r>
      <w:proofErr w:type="spellStart"/>
      <w:r w:rsidRPr="00DA1E80">
        <w:rPr>
          <w:rFonts w:ascii="Arial" w:hAnsi="Arial" w:cs="Arial"/>
        </w:rPr>
        <w:t>Glucocrinology</w:t>
      </w:r>
      <w:proofErr w:type="spellEnd"/>
      <w:r w:rsidRPr="00DA1E80">
        <w:rPr>
          <w:rFonts w:ascii="Arial" w:hAnsi="Arial" w:cs="Arial"/>
        </w:rPr>
        <w:t xml:space="preserve"> of Modern Sulfonylureas: Clinical Evidence and Practice-Based Opinion from an International Expert Group. Diabetes </w:t>
      </w:r>
      <w:proofErr w:type="spellStart"/>
      <w:r w:rsidRPr="00DA1E80">
        <w:rPr>
          <w:rFonts w:ascii="Arial" w:hAnsi="Arial" w:cs="Arial"/>
        </w:rPr>
        <w:t>Ther</w:t>
      </w:r>
      <w:proofErr w:type="spellEnd"/>
      <w:r w:rsidRPr="00DA1E80">
        <w:rPr>
          <w:rFonts w:ascii="Arial" w:hAnsi="Arial" w:cs="Arial"/>
        </w:rPr>
        <w:t xml:space="preserve"> 10, 1577–1593 (2019). </w:t>
      </w:r>
      <w:hyperlink r:id="rId5" w:history="1">
        <w:r w:rsidRPr="00DA1E80">
          <w:rPr>
            <w:rStyle w:val="Hyperlink"/>
            <w:rFonts w:ascii="Arial" w:hAnsi="Arial" w:cs="Arial"/>
            <w:color w:val="auto"/>
            <w:u w:val="none"/>
          </w:rPr>
          <w:t>https://doi.org/10.1007/s13300-019-0651-1</w:t>
        </w:r>
      </w:hyperlink>
      <w:r w:rsidRPr="00DA1E80">
        <w:rPr>
          <w:rFonts w:ascii="Arial" w:hAnsi="Arial" w:cs="Arial"/>
        </w:rPr>
        <w:t xml:space="preserve"> </w:t>
      </w:r>
    </w:p>
    <w:p w14:paraId="1D699C5F" w14:textId="6C92A688" w:rsidR="00CD60EA" w:rsidRPr="00DA1E80" w:rsidRDefault="00CA27B5" w:rsidP="0046547E">
      <w:pPr>
        <w:pStyle w:val="ListParagraph"/>
        <w:numPr>
          <w:ilvl w:val="0"/>
          <w:numId w:val="3"/>
        </w:numPr>
        <w:spacing w:line="360" w:lineRule="auto"/>
        <w:jc w:val="both"/>
        <w:rPr>
          <w:rFonts w:ascii="Arial" w:hAnsi="Arial" w:cs="Arial"/>
        </w:rPr>
      </w:pPr>
      <w:r w:rsidRPr="00DA1E80">
        <w:rPr>
          <w:rFonts w:ascii="Arial" w:hAnsi="Arial" w:cs="Arial"/>
        </w:rPr>
        <w:t xml:space="preserve">Rosenstock J, Kahn SE, Johansen OE, et al. Effect of Linagliptin vs Glimepiride on Major Adverse   Cardiovascular Outcomes in Patients With Type 2 Diabetes: The CAROLINA Randomized Clinical Trial. JAMA. 2019;322(12):1155–1166. doi:10.1001/jama.2019.13772 </w:t>
      </w:r>
    </w:p>
    <w:p w14:paraId="39E9AE7A" w14:textId="28F7B897" w:rsidR="009432CD" w:rsidRPr="00DA1E80" w:rsidRDefault="000B5012" w:rsidP="0046547E">
      <w:pPr>
        <w:pStyle w:val="ListParagraph"/>
        <w:numPr>
          <w:ilvl w:val="0"/>
          <w:numId w:val="3"/>
        </w:numPr>
        <w:spacing w:line="360" w:lineRule="auto"/>
        <w:jc w:val="both"/>
        <w:rPr>
          <w:rFonts w:ascii="Arial" w:hAnsi="Arial" w:cs="Arial"/>
        </w:rPr>
      </w:pPr>
      <w:r w:rsidRPr="00DA1E80">
        <w:rPr>
          <w:rFonts w:ascii="Arial" w:hAnsi="Arial" w:cs="Arial"/>
        </w:rPr>
        <w:t>Aravind SR</w:t>
      </w:r>
      <w:r w:rsidR="00836FA4" w:rsidRPr="00DA1E80">
        <w:rPr>
          <w:rFonts w:ascii="Arial" w:hAnsi="Arial" w:cs="Arial"/>
        </w:rPr>
        <w:t>., Mittal S., Venkatraman S., et al. (December 2019) Cardiovascular Profile of Modern Sulfonylureas: Focus on Glimepiride. Journal of The Association of Physicians of India, supplement Vol 67; 17-19.</w:t>
      </w:r>
    </w:p>
    <w:p w14:paraId="0DE36658" w14:textId="38DD9D1B" w:rsidR="00EB720D" w:rsidRPr="00DA1E80" w:rsidRDefault="00EB720D" w:rsidP="0046547E">
      <w:pPr>
        <w:pStyle w:val="ListParagraph"/>
        <w:numPr>
          <w:ilvl w:val="0"/>
          <w:numId w:val="3"/>
        </w:numPr>
        <w:spacing w:line="360" w:lineRule="auto"/>
        <w:jc w:val="both"/>
        <w:rPr>
          <w:rStyle w:val="Hyperlink"/>
          <w:rFonts w:ascii="Arial" w:hAnsi="Arial" w:cs="Arial"/>
          <w:color w:val="auto"/>
          <w:u w:val="none"/>
        </w:rPr>
      </w:pPr>
      <w:r w:rsidRPr="00DA1E80">
        <w:rPr>
          <w:rFonts w:ascii="Arial" w:hAnsi="Arial" w:cs="Arial"/>
        </w:rPr>
        <w:t xml:space="preserve">Kalra S et al., Unravelling the utility of modern sulfonylureas from cardiovascular outcome trials and landmark trials: expert opinion from an international panel, Indian Heart Journal, </w:t>
      </w:r>
      <w:hyperlink r:id="rId6" w:history="1">
        <w:r w:rsidRPr="00DA1E80">
          <w:rPr>
            <w:rStyle w:val="Hyperlink"/>
            <w:rFonts w:ascii="Arial" w:hAnsi="Arial" w:cs="Arial"/>
            <w:color w:val="auto"/>
            <w:u w:val="none"/>
          </w:rPr>
          <w:t>https://doi.org/10.1016/j.ihj.2020.01.001</w:t>
        </w:r>
      </w:hyperlink>
    </w:p>
    <w:p w14:paraId="28E0E489" w14:textId="47FDE19B" w:rsidR="00DA1E80" w:rsidRDefault="00DA1E80" w:rsidP="0046547E">
      <w:pPr>
        <w:spacing w:line="360" w:lineRule="auto"/>
        <w:jc w:val="both"/>
        <w:rPr>
          <w:rStyle w:val="Hyperlink"/>
          <w:rFonts w:ascii="Arial" w:hAnsi="Arial" w:cs="Arial"/>
          <w:color w:val="auto"/>
          <w:u w:val="none"/>
        </w:rPr>
      </w:pPr>
    </w:p>
    <w:p w14:paraId="71C4CA67" w14:textId="2595BC1E" w:rsidR="00DA1E80" w:rsidRDefault="00DA1E80" w:rsidP="0046547E">
      <w:pPr>
        <w:spacing w:line="360" w:lineRule="auto"/>
        <w:jc w:val="both"/>
        <w:rPr>
          <w:rStyle w:val="Hyperlink"/>
          <w:rFonts w:ascii="Arial" w:hAnsi="Arial" w:cs="Arial"/>
          <w:color w:val="auto"/>
          <w:u w:val="none"/>
        </w:rPr>
      </w:pPr>
    </w:p>
    <w:p w14:paraId="7C5E978C" w14:textId="53E8CF18" w:rsidR="00DA1E80" w:rsidRDefault="00DA1E80" w:rsidP="0046547E">
      <w:pPr>
        <w:spacing w:line="360" w:lineRule="auto"/>
        <w:jc w:val="both"/>
        <w:rPr>
          <w:rStyle w:val="Hyperlink"/>
          <w:rFonts w:ascii="Arial" w:hAnsi="Arial" w:cs="Arial"/>
          <w:color w:val="auto"/>
          <w:u w:val="none"/>
        </w:rPr>
      </w:pPr>
    </w:p>
    <w:p w14:paraId="255DA1AA" w14:textId="140FB759" w:rsidR="00DA1E80" w:rsidRDefault="00DA1E80" w:rsidP="0046547E">
      <w:pPr>
        <w:spacing w:line="360" w:lineRule="auto"/>
        <w:jc w:val="both"/>
        <w:rPr>
          <w:rStyle w:val="Hyperlink"/>
          <w:rFonts w:ascii="Arial" w:hAnsi="Arial" w:cs="Arial"/>
          <w:color w:val="auto"/>
          <w:u w:val="none"/>
        </w:rPr>
      </w:pPr>
    </w:p>
    <w:p w14:paraId="64695D88" w14:textId="77777777" w:rsidR="00B41909" w:rsidRPr="00DA1E80" w:rsidRDefault="00B41909" w:rsidP="0046547E">
      <w:pPr>
        <w:spacing w:line="360" w:lineRule="auto"/>
        <w:jc w:val="both"/>
        <w:rPr>
          <w:rFonts w:ascii="Arial" w:hAnsi="Arial" w:cs="Arial"/>
        </w:rPr>
      </w:pPr>
      <w:bookmarkStart w:id="0" w:name="_GoBack"/>
      <w:bookmarkEnd w:id="0"/>
    </w:p>
    <w:p w14:paraId="2D6E872A" w14:textId="77A0B935" w:rsidR="001E044F" w:rsidRPr="00DA1E80" w:rsidRDefault="00CD60EA" w:rsidP="0046547E">
      <w:pPr>
        <w:spacing w:line="360" w:lineRule="auto"/>
        <w:jc w:val="both"/>
        <w:rPr>
          <w:rFonts w:ascii="Arial" w:hAnsi="Arial" w:cs="Arial"/>
        </w:rPr>
      </w:pPr>
      <w:r w:rsidRPr="00DA1E80">
        <w:rPr>
          <w:rFonts w:ascii="Arial" w:hAnsi="Arial" w:cs="Arial"/>
          <w:noProof/>
        </w:rPr>
        <w:drawing>
          <wp:inline distT="0" distB="0" distL="0" distR="0" wp14:anchorId="40887F32" wp14:editId="1426E341">
            <wp:extent cx="1022408" cy="1309816"/>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1057" cy="1320897"/>
                    </a:xfrm>
                    <a:prstGeom prst="rect">
                      <a:avLst/>
                    </a:prstGeom>
                    <a:noFill/>
                    <a:ln>
                      <a:noFill/>
                    </a:ln>
                  </pic:spPr>
                </pic:pic>
              </a:graphicData>
            </a:graphic>
          </wp:inline>
        </w:drawing>
      </w:r>
    </w:p>
    <w:p w14:paraId="6BEE1824" w14:textId="31A5ABB0" w:rsidR="00CD60EA" w:rsidRPr="00DA1E80" w:rsidRDefault="00CD60EA" w:rsidP="0046547E">
      <w:pPr>
        <w:spacing w:line="360" w:lineRule="auto"/>
        <w:jc w:val="both"/>
        <w:rPr>
          <w:rFonts w:ascii="Arial" w:hAnsi="Arial" w:cs="Arial"/>
        </w:rPr>
      </w:pPr>
    </w:p>
    <w:p w14:paraId="19F71EB3" w14:textId="7852BDD8" w:rsidR="00CD60EA" w:rsidRPr="0046547E" w:rsidRDefault="00CD60EA" w:rsidP="0046547E">
      <w:pPr>
        <w:spacing w:line="360" w:lineRule="auto"/>
        <w:jc w:val="both"/>
        <w:rPr>
          <w:rFonts w:ascii="Arial" w:hAnsi="Arial" w:cs="Arial"/>
          <w:b/>
          <w:bCs/>
          <w:color w:val="833C0B" w:themeColor="accent2" w:themeShade="80"/>
        </w:rPr>
      </w:pPr>
      <w:r w:rsidRPr="0046547E">
        <w:rPr>
          <w:rFonts w:ascii="Arial" w:hAnsi="Arial" w:cs="Arial"/>
          <w:b/>
          <w:bCs/>
          <w:color w:val="833C0B" w:themeColor="accent2" w:themeShade="80"/>
        </w:rPr>
        <w:t>Biography:</w:t>
      </w:r>
    </w:p>
    <w:p w14:paraId="0A18536E" w14:textId="77777777" w:rsidR="00CD60EA" w:rsidRPr="00DA1E80" w:rsidRDefault="00CD60EA" w:rsidP="0046547E">
      <w:pPr>
        <w:spacing w:line="360" w:lineRule="auto"/>
        <w:jc w:val="both"/>
        <w:rPr>
          <w:rFonts w:ascii="Arial" w:hAnsi="Arial" w:cs="Arial"/>
          <w:bCs/>
          <w:iCs/>
        </w:rPr>
      </w:pPr>
      <w:r w:rsidRPr="00DA1E80">
        <w:rPr>
          <w:rFonts w:ascii="Arial" w:hAnsi="Arial" w:cs="Arial"/>
          <w:bCs/>
          <w:iCs/>
        </w:rPr>
        <w:t>A specialist Physician and Diabetologist, with interest in research and real-world practice in the field of diabetes.</w:t>
      </w:r>
    </w:p>
    <w:p w14:paraId="62454ECB" w14:textId="090739EE" w:rsidR="00CD60EA" w:rsidRPr="00DA1E80" w:rsidRDefault="00CD60EA" w:rsidP="0046547E">
      <w:pPr>
        <w:spacing w:line="360" w:lineRule="auto"/>
        <w:jc w:val="both"/>
        <w:rPr>
          <w:rFonts w:ascii="Arial" w:hAnsi="Arial" w:cs="Arial"/>
          <w:bCs/>
          <w:iCs/>
        </w:rPr>
      </w:pPr>
      <w:r w:rsidRPr="00DA1E80">
        <w:rPr>
          <w:rFonts w:ascii="Arial" w:hAnsi="Arial" w:cs="Arial"/>
          <w:bCs/>
          <w:iCs/>
        </w:rPr>
        <w:t>Practicing since 1989, have achieved 30 years of milestone in clinical practice in this field</w:t>
      </w:r>
      <w:r w:rsidR="004E78CB" w:rsidRPr="00DA1E80">
        <w:rPr>
          <w:rFonts w:ascii="Arial" w:hAnsi="Arial" w:cs="Arial"/>
          <w:bCs/>
          <w:iCs/>
        </w:rPr>
        <w:t>,</w:t>
      </w:r>
      <w:r w:rsidRPr="00DA1E80">
        <w:rPr>
          <w:rFonts w:ascii="Arial" w:hAnsi="Arial" w:cs="Arial"/>
          <w:bCs/>
          <w:iCs/>
        </w:rPr>
        <w:t xml:space="preserve"> mainly applying the latest developments and updates in the field of diabetes in real world clinical practice within the available infrastructure and framework.</w:t>
      </w:r>
    </w:p>
    <w:p w14:paraId="0B42587B" w14:textId="3E553C34" w:rsidR="00CD60EA" w:rsidRPr="00DA1E80" w:rsidRDefault="00CD60EA" w:rsidP="0046547E">
      <w:pPr>
        <w:pStyle w:val="BodyText"/>
        <w:spacing w:line="360" w:lineRule="auto"/>
        <w:jc w:val="both"/>
        <w:rPr>
          <w:rFonts w:ascii="Arial" w:hAnsi="Arial" w:cs="Arial"/>
          <w:bCs/>
          <w:iCs/>
          <w:sz w:val="22"/>
          <w:szCs w:val="22"/>
        </w:rPr>
      </w:pPr>
      <w:r w:rsidRPr="00DA1E80">
        <w:rPr>
          <w:rFonts w:ascii="Arial" w:hAnsi="Arial" w:cs="Arial"/>
          <w:bCs/>
          <w:iCs/>
          <w:sz w:val="22"/>
          <w:szCs w:val="22"/>
        </w:rPr>
        <w:t>An active member and association with different like minded organizations:</w:t>
      </w:r>
    </w:p>
    <w:p w14:paraId="550AE7C1" w14:textId="0A94D880" w:rsidR="00CD60EA" w:rsidRPr="00DA1E80" w:rsidRDefault="00CD60EA" w:rsidP="0046547E">
      <w:pPr>
        <w:pStyle w:val="BodyText"/>
        <w:spacing w:line="360" w:lineRule="auto"/>
        <w:jc w:val="both"/>
        <w:rPr>
          <w:rFonts w:ascii="Arial" w:hAnsi="Arial" w:cs="Arial"/>
          <w:bCs/>
          <w:sz w:val="22"/>
          <w:szCs w:val="22"/>
        </w:rPr>
      </w:pPr>
      <w:r w:rsidRPr="00DA1E80">
        <w:rPr>
          <w:rFonts w:ascii="Arial" w:hAnsi="Arial" w:cs="Arial"/>
          <w:color w:val="222222"/>
          <w:sz w:val="22"/>
          <w:szCs w:val="22"/>
          <w:shd w:val="clear" w:color="auto" w:fill="FFFFFF"/>
        </w:rPr>
        <w:t>Reviewer for Diabetes Therapy with Springer</w:t>
      </w:r>
      <w:r w:rsidRPr="00DA1E80">
        <w:rPr>
          <w:rFonts w:ascii="Arial" w:hAnsi="Arial" w:cs="Arial"/>
          <w:bCs/>
          <w:sz w:val="22"/>
          <w:szCs w:val="22"/>
        </w:rPr>
        <w:t>.</w:t>
      </w:r>
    </w:p>
    <w:p w14:paraId="1E69AA10" w14:textId="77777777" w:rsidR="00CD60EA" w:rsidRPr="00DA1E80" w:rsidRDefault="00CD60EA" w:rsidP="0046547E">
      <w:pPr>
        <w:pStyle w:val="BodyText"/>
        <w:spacing w:line="360" w:lineRule="auto"/>
        <w:jc w:val="both"/>
        <w:rPr>
          <w:rFonts w:ascii="Arial" w:hAnsi="Arial" w:cs="Arial"/>
          <w:bCs/>
          <w:sz w:val="22"/>
          <w:szCs w:val="22"/>
        </w:rPr>
      </w:pPr>
      <w:r w:rsidRPr="00DA1E80">
        <w:rPr>
          <w:rFonts w:ascii="Arial" w:hAnsi="Arial" w:cs="Arial"/>
          <w:bCs/>
          <w:sz w:val="22"/>
          <w:szCs w:val="22"/>
        </w:rPr>
        <w:t xml:space="preserve">Member of National Advisory Board for Obesity India 2020 - the 15th Annual Conference of All India Association for Advancement of Research in Obesity (AIAAROCON).  </w:t>
      </w:r>
    </w:p>
    <w:p w14:paraId="56ADDE36" w14:textId="03DC096E" w:rsidR="00CD60EA" w:rsidRPr="00DA1E80" w:rsidRDefault="00CD60EA" w:rsidP="0046547E">
      <w:pPr>
        <w:pStyle w:val="BodyText"/>
        <w:spacing w:line="360" w:lineRule="auto"/>
        <w:jc w:val="both"/>
        <w:rPr>
          <w:rFonts w:ascii="Arial" w:hAnsi="Arial" w:cs="Arial"/>
          <w:bCs/>
          <w:sz w:val="22"/>
          <w:szCs w:val="22"/>
        </w:rPr>
      </w:pPr>
      <w:r w:rsidRPr="00DA1E80">
        <w:rPr>
          <w:rFonts w:ascii="Arial" w:hAnsi="Arial" w:cs="Arial"/>
          <w:bCs/>
          <w:sz w:val="22"/>
          <w:szCs w:val="22"/>
        </w:rPr>
        <w:t>Co-Editor of “Safe Feasting and Fasting” a monthly newsletter by the South Asian Federation of Endocrine Soceities (SAFES) - dedicated to fasting and diabetes in different religion.</w:t>
      </w:r>
    </w:p>
    <w:p w14:paraId="67329282" w14:textId="34F42B94" w:rsidR="00CD60EA" w:rsidRPr="00DA1E80" w:rsidRDefault="00CD60EA" w:rsidP="0046547E">
      <w:pPr>
        <w:pStyle w:val="BodyText"/>
        <w:spacing w:line="360" w:lineRule="auto"/>
        <w:jc w:val="both"/>
        <w:rPr>
          <w:rFonts w:ascii="Arial" w:hAnsi="Arial" w:cs="Arial"/>
          <w:sz w:val="22"/>
          <w:szCs w:val="22"/>
          <w:shd w:val="clear" w:color="auto" w:fill="FFFFFF"/>
        </w:rPr>
      </w:pPr>
      <w:r w:rsidRPr="00DA1E80">
        <w:rPr>
          <w:rFonts w:ascii="Arial" w:hAnsi="Arial" w:cs="Arial"/>
          <w:bCs/>
          <w:sz w:val="22"/>
          <w:szCs w:val="22"/>
        </w:rPr>
        <w:t>Founder Member of Indian Ocean Academia (</w:t>
      </w:r>
      <w:r w:rsidRPr="00DA1E80">
        <w:rPr>
          <w:rFonts w:ascii="Arial" w:hAnsi="Arial" w:cs="Arial"/>
          <w:sz w:val="22"/>
          <w:szCs w:val="22"/>
          <w:shd w:val="clear" w:color="auto" w:fill="FFFFFF"/>
        </w:rPr>
        <w:t>IO ACaDEMIa).</w:t>
      </w:r>
    </w:p>
    <w:p w14:paraId="1A2B7DB7" w14:textId="39361BEC" w:rsidR="00CD60EA" w:rsidRPr="00DA1E80" w:rsidRDefault="00CD60EA" w:rsidP="0046547E">
      <w:pPr>
        <w:pStyle w:val="BodyText"/>
        <w:spacing w:line="360" w:lineRule="auto"/>
        <w:jc w:val="both"/>
        <w:rPr>
          <w:rFonts w:ascii="Arial" w:hAnsi="Arial" w:cs="Arial"/>
          <w:sz w:val="22"/>
          <w:szCs w:val="22"/>
          <w:shd w:val="clear" w:color="auto" w:fill="FFFFFF"/>
        </w:rPr>
      </w:pPr>
      <w:r w:rsidRPr="00DA1E80">
        <w:rPr>
          <w:rFonts w:ascii="Arial" w:hAnsi="Arial" w:cs="Arial"/>
          <w:sz w:val="22"/>
          <w:szCs w:val="22"/>
          <w:shd w:val="clear" w:color="auto" w:fill="FFFFFF"/>
        </w:rPr>
        <w:t>Associate member of South Asian Federation of Endocrine Societies (SAFES).</w:t>
      </w:r>
    </w:p>
    <w:p w14:paraId="3F36E076" w14:textId="77777777" w:rsidR="00CD60EA" w:rsidRPr="00DA1E80" w:rsidRDefault="00CD60EA" w:rsidP="0046547E">
      <w:pPr>
        <w:pStyle w:val="BodyText"/>
        <w:spacing w:line="360" w:lineRule="auto"/>
        <w:jc w:val="both"/>
        <w:rPr>
          <w:rFonts w:ascii="Arial" w:hAnsi="Arial" w:cs="Arial"/>
          <w:bCs/>
          <w:sz w:val="22"/>
          <w:szCs w:val="22"/>
        </w:rPr>
      </w:pPr>
      <w:r w:rsidRPr="00DA1E80">
        <w:rPr>
          <w:rFonts w:ascii="Arial" w:hAnsi="Arial" w:cs="Arial"/>
          <w:bCs/>
          <w:sz w:val="22"/>
          <w:szCs w:val="22"/>
        </w:rPr>
        <w:t>Member of American Diabetes Association - 2015.</w:t>
      </w:r>
    </w:p>
    <w:p w14:paraId="583FEB80" w14:textId="155CDA2D" w:rsidR="00CD60EA" w:rsidRPr="00DA1E80" w:rsidRDefault="00CD60EA" w:rsidP="0046547E">
      <w:pPr>
        <w:pStyle w:val="BodyText"/>
        <w:spacing w:line="360" w:lineRule="auto"/>
        <w:jc w:val="both"/>
        <w:rPr>
          <w:rFonts w:ascii="Arial" w:hAnsi="Arial" w:cs="Arial"/>
          <w:bCs/>
          <w:sz w:val="22"/>
          <w:szCs w:val="22"/>
        </w:rPr>
      </w:pPr>
      <w:r w:rsidRPr="00DA1E80">
        <w:rPr>
          <w:rFonts w:ascii="Arial" w:hAnsi="Arial" w:cs="Arial"/>
          <w:bCs/>
          <w:sz w:val="22"/>
          <w:szCs w:val="22"/>
        </w:rPr>
        <w:t>Member of Oman Diabetes Association.</w:t>
      </w:r>
    </w:p>
    <w:p w14:paraId="33C2EA41" w14:textId="273A81DE" w:rsidR="00CD60EA" w:rsidRPr="00DA1E80" w:rsidRDefault="00CD60EA" w:rsidP="0046547E">
      <w:pPr>
        <w:spacing w:line="360" w:lineRule="auto"/>
        <w:jc w:val="both"/>
        <w:rPr>
          <w:rFonts w:ascii="Arial" w:hAnsi="Arial" w:cs="Arial"/>
          <w:bCs/>
          <w:iCs/>
        </w:rPr>
      </w:pPr>
    </w:p>
    <w:p w14:paraId="22611CD1" w14:textId="77777777" w:rsidR="00DA1E80" w:rsidRDefault="00DA1E80" w:rsidP="0046547E">
      <w:pPr>
        <w:spacing w:line="360" w:lineRule="auto"/>
        <w:jc w:val="center"/>
        <w:rPr>
          <w:rFonts w:ascii="Arial" w:hAnsi="Arial" w:cs="Arial"/>
          <w:b/>
          <w:bCs/>
          <w:color w:val="002060"/>
        </w:rPr>
      </w:pPr>
    </w:p>
    <w:p w14:paraId="1949F1F2" w14:textId="66F36470" w:rsidR="00CD60EA" w:rsidRPr="00DA1E80" w:rsidRDefault="000C45A0" w:rsidP="0046547E">
      <w:pPr>
        <w:spacing w:line="360" w:lineRule="auto"/>
        <w:jc w:val="center"/>
        <w:rPr>
          <w:rFonts w:ascii="Arial" w:hAnsi="Arial" w:cs="Arial"/>
          <w:b/>
          <w:bCs/>
          <w:color w:val="002060"/>
        </w:rPr>
      </w:pPr>
      <w:r w:rsidRPr="00DA1E80">
        <w:rPr>
          <w:rFonts w:ascii="Arial" w:hAnsi="Arial" w:cs="Arial"/>
          <w:b/>
          <w:bCs/>
          <w:color w:val="002060"/>
        </w:rPr>
        <w:t>email : drkhalids@gmail.com</w:t>
      </w:r>
    </w:p>
    <w:p w14:paraId="48D396F3" w14:textId="77777777" w:rsidR="00CD60EA" w:rsidRPr="00DA1E80" w:rsidRDefault="00CD60EA" w:rsidP="0046547E">
      <w:pPr>
        <w:spacing w:line="360" w:lineRule="auto"/>
        <w:jc w:val="both"/>
        <w:rPr>
          <w:rFonts w:ascii="Arial" w:hAnsi="Arial" w:cs="Arial"/>
          <w:b/>
          <w:bCs/>
        </w:rPr>
      </w:pPr>
    </w:p>
    <w:sectPr w:rsidR="00CD60EA" w:rsidRPr="00DA1E80" w:rsidSect="0046547E">
      <w:pgSz w:w="12240" w:h="15840"/>
      <w:pgMar w:top="1080" w:right="18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846AF7"/>
    <w:multiLevelType w:val="hybridMultilevel"/>
    <w:tmpl w:val="19DC7D34"/>
    <w:lvl w:ilvl="0" w:tplc="9F8C2CFC">
      <w:start w:val="1"/>
      <w:numFmt w:val="decimal"/>
      <w:lvlText w:val="%1."/>
      <w:lvlJc w:val="left"/>
      <w:pPr>
        <w:ind w:left="720" w:hanging="360"/>
      </w:pPr>
      <w:rPr>
        <w:rFonts w:ascii="Book Antiqua" w:hAnsi="Book Antiqua"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1948B0"/>
    <w:multiLevelType w:val="hybridMultilevel"/>
    <w:tmpl w:val="CE6CB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6827A0"/>
    <w:multiLevelType w:val="hybridMultilevel"/>
    <w:tmpl w:val="82A6C296"/>
    <w:lvl w:ilvl="0" w:tplc="89446E94">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E0C"/>
    <w:rsid w:val="00035EDD"/>
    <w:rsid w:val="000B2E59"/>
    <w:rsid w:val="000B5012"/>
    <w:rsid w:val="000C45A0"/>
    <w:rsid w:val="001050B9"/>
    <w:rsid w:val="001E044F"/>
    <w:rsid w:val="002711D8"/>
    <w:rsid w:val="0028124A"/>
    <w:rsid w:val="0046547E"/>
    <w:rsid w:val="004E78CB"/>
    <w:rsid w:val="00536EFB"/>
    <w:rsid w:val="005E30B9"/>
    <w:rsid w:val="007A4648"/>
    <w:rsid w:val="00810E0C"/>
    <w:rsid w:val="00836FA4"/>
    <w:rsid w:val="009432CD"/>
    <w:rsid w:val="00945E65"/>
    <w:rsid w:val="00B41909"/>
    <w:rsid w:val="00CA27B5"/>
    <w:rsid w:val="00CD60EA"/>
    <w:rsid w:val="00DA1E80"/>
    <w:rsid w:val="00E04CDF"/>
    <w:rsid w:val="00E6342C"/>
    <w:rsid w:val="00EB7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FC63"/>
  <w15:chartTrackingRefBased/>
  <w15:docId w15:val="{FAAD1CD2-9DFD-4E47-B4E0-2BC263373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D60EA"/>
    <w:pPr>
      <w:spacing w:after="0" w:line="240" w:lineRule="auto"/>
    </w:pPr>
    <w:rPr>
      <w:rFonts w:ascii="Times New Roman" w:eastAsia="Times New Roman" w:hAnsi="Times New Roman" w:cs="Traditional Arabic"/>
      <w:noProof/>
      <w:sz w:val="28"/>
      <w:szCs w:val="33"/>
    </w:rPr>
  </w:style>
  <w:style w:type="character" w:customStyle="1" w:styleId="BodyTextChar">
    <w:name w:val="Body Text Char"/>
    <w:basedOn w:val="DefaultParagraphFont"/>
    <w:link w:val="BodyText"/>
    <w:rsid w:val="00CD60EA"/>
    <w:rPr>
      <w:rFonts w:ascii="Times New Roman" w:eastAsia="Times New Roman" w:hAnsi="Times New Roman" w:cs="Traditional Arabic"/>
      <w:noProof/>
      <w:sz w:val="28"/>
      <w:szCs w:val="33"/>
    </w:rPr>
  </w:style>
  <w:style w:type="paragraph" w:styleId="ListParagraph">
    <w:name w:val="List Paragraph"/>
    <w:basedOn w:val="Normal"/>
    <w:uiPriority w:val="34"/>
    <w:qFormat/>
    <w:rsid w:val="009432CD"/>
    <w:pPr>
      <w:ind w:left="720"/>
      <w:contextualSpacing/>
    </w:pPr>
  </w:style>
  <w:style w:type="character" w:styleId="Hyperlink">
    <w:name w:val="Hyperlink"/>
    <w:basedOn w:val="DefaultParagraphFont"/>
    <w:uiPriority w:val="99"/>
    <w:unhideWhenUsed/>
    <w:rsid w:val="009432CD"/>
    <w:rPr>
      <w:color w:val="0563C1" w:themeColor="hyperlink"/>
      <w:u w:val="single"/>
    </w:rPr>
  </w:style>
  <w:style w:type="character" w:styleId="UnresolvedMention">
    <w:name w:val="Unresolved Mention"/>
    <w:basedOn w:val="DefaultParagraphFont"/>
    <w:uiPriority w:val="99"/>
    <w:semiHidden/>
    <w:unhideWhenUsed/>
    <w:rsid w:val="009432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ihj.2020.01.001" TargetMode="External"/><Relationship Id="rId5" Type="http://schemas.openxmlformats.org/officeDocument/2006/relationships/hyperlink" Target="https://doi.org/10.1007/s13300-019-0651-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687</Words>
  <Characters>3917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Shaikh</dc:creator>
  <cp:keywords/>
  <dc:description/>
  <cp:lastModifiedBy>Khalid Shaikh</cp:lastModifiedBy>
  <cp:revision>10</cp:revision>
  <dcterms:created xsi:type="dcterms:W3CDTF">2020-02-28T16:10:00Z</dcterms:created>
  <dcterms:modified xsi:type="dcterms:W3CDTF">2020-02-29T07:56:00Z</dcterms:modified>
</cp:coreProperties>
</file>