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661C" w:rsidRPr="00E43BB4" w:rsidRDefault="00C7661C" w:rsidP="00C7661C">
      <w:pPr>
        <w:rPr>
          <w:rFonts w:ascii="Times New Roman" w:hAnsi="Times New Roman" w:cs="Times New Roman"/>
          <w:b/>
          <w:color w:val="000000" w:themeColor="text1"/>
          <w:sz w:val="24"/>
          <w:szCs w:val="24"/>
        </w:rPr>
      </w:pPr>
      <w:r w:rsidRPr="00E43BB4">
        <w:rPr>
          <w:rFonts w:ascii="Times New Roman" w:hAnsi="Times New Roman" w:cs="Times New Roman"/>
          <w:b/>
          <w:color w:val="000000" w:themeColor="text1"/>
          <w:sz w:val="24"/>
          <w:szCs w:val="24"/>
        </w:rPr>
        <w:t xml:space="preserve">Drug Therapy Problems among Ambulatory Patients with Type 2 Diabetes at Endocrine and Metabolism Unit of </w:t>
      </w:r>
      <w:proofErr w:type="spellStart"/>
      <w:r w:rsidRPr="00E43BB4">
        <w:rPr>
          <w:rFonts w:ascii="Times New Roman" w:hAnsi="Times New Roman" w:cs="Times New Roman"/>
          <w:b/>
          <w:color w:val="000000" w:themeColor="text1"/>
          <w:sz w:val="24"/>
          <w:szCs w:val="24"/>
        </w:rPr>
        <w:t>Tikur</w:t>
      </w:r>
      <w:proofErr w:type="spellEnd"/>
      <w:r w:rsidRPr="00E43BB4">
        <w:rPr>
          <w:rFonts w:ascii="Times New Roman" w:hAnsi="Times New Roman" w:cs="Times New Roman"/>
          <w:b/>
          <w:color w:val="000000" w:themeColor="text1"/>
          <w:sz w:val="24"/>
          <w:szCs w:val="24"/>
        </w:rPr>
        <w:t xml:space="preserve"> </w:t>
      </w:r>
      <w:proofErr w:type="spellStart"/>
      <w:r w:rsidRPr="00E43BB4">
        <w:rPr>
          <w:rFonts w:ascii="Times New Roman" w:hAnsi="Times New Roman" w:cs="Times New Roman"/>
          <w:b/>
          <w:color w:val="000000" w:themeColor="text1"/>
          <w:sz w:val="24"/>
          <w:szCs w:val="24"/>
        </w:rPr>
        <w:t>Anbessa</w:t>
      </w:r>
      <w:proofErr w:type="spellEnd"/>
      <w:r w:rsidRPr="00E43BB4">
        <w:rPr>
          <w:rFonts w:ascii="Times New Roman" w:hAnsi="Times New Roman" w:cs="Times New Roman"/>
          <w:b/>
          <w:color w:val="000000" w:themeColor="text1"/>
          <w:sz w:val="24"/>
          <w:szCs w:val="24"/>
        </w:rPr>
        <w:t xml:space="preserve"> Specialized Hospital, Addis Ababa, Ethiopia</w:t>
      </w:r>
    </w:p>
    <w:p w:rsidR="0078738A" w:rsidRDefault="00470B78" w:rsidP="00E476FA">
      <w:pPr>
        <w:pStyle w:val="BodyText"/>
        <w:tabs>
          <w:tab w:val="left" w:pos="5580"/>
        </w:tabs>
        <w:spacing w:before="73" w:line="198" w:lineRule="exact"/>
        <w:ind w:left="100" w:right="5200"/>
        <w:rPr>
          <w:rFonts w:ascii="Arial"/>
        </w:rPr>
      </w:pPr>
      <w:r>
        <w:rPr>
          <w:rFonts w:ascii="Arial"/>
        </w:rPr>
        <w:t xml:space="preserve">Gebre </w:t>
      </w:r>
      <w:r w:rsidR="0015301D">
        <w:rPr>
          <w:rFonts w:ascii="Arial"/>
        </w:rPr>
        <w:t>TD</w:t>
      </w:r>
      <w:r w:rsidR="005973B9">
        <w:rPr>
          <w:rFonts w:ascii="Arial"/>
        </w:rPr>
        <w:t xml:space="preserve">, </w:t>
      </w:r>
      <w:r>
        <w:rPr>
          <w:rFonts w:ascii="Arial"/>
        </w:rPr>
        <w:t>MSc,</w:t>
      </w:r>
      <w:r w:rsidR="00424D73">
        <w:rPr>
          <w:rFonts w:ascii="Arial"/>
        </w:rPr>
        <w:t xml:space="preserve"> </w:t>
      </w:r>
      <w:proofErr w:type="spellStart"/>
      <w:r>
        <w:rPr>
          <w:rFonts w:ascii="Arial"/>
        </w:rPr>
        <w:t>Rph</w:t>
      </w:r>
      <w:proofErr w:type="spellEnd"/>
      <w:r w:rsidR="005973B9">
        <w:rPr>
          <w:rFonts w:ascii="Arial"/>
        </w:rPr>
        <w:t xml:space="preserve">, </w:t>
      </w:r>
      <w:r>
        <w:rPr>
          <w:rFonts w:ascii="Arial"/>
        </w:rPr>
        <w:t>Aksum University, Aksum, Ethiopia</w:t>
      </w:r>
      <w:r w:rsidR="005973B9">
        <w:rPr>
          <w:rFonts w:ascii="Arial"/>
        </w:rPr>
        <w:t xml:space="preserve"> </w:t>
      </w:r>
    </w:p>
    <w:p w:rsidR="00AE3E37" w:rsidRDefault="00C7661C" w:rsidP="00C7661C">
      <w:pPr>
        <w:pStyle w:val="BodyText"/>
        <w:spacing w:before="73" w:line="198" w:lineRule="exact"/>
        <w:ind w:left="100" w:right="5290"/>
        <w:rPr>
          <w:rFonts w:ascii="Arial"/>
          <w:sz w:val="21"/>
        </w:rPr>
        <w:sectPr w:rsidR="00AE3E37" w:rsidSect="006B4634">
          <w:headerReference w:type="default" r:id="rId8"/>
          <w:footerReference w:type="default" r:id="rId9"/>
          <w:type w:val="continuous"/>
          <w:pgSz w:w="11910" w:h="16840"/>
          <w:pgMar w:top="1180" w:right="600" w:bottom="840" w:left="620" w:header="541" w:footer="642" w:gutter="0"/>
          <w:cols w:space="720"/>
        </w:sectPr>
      </w:pPr>
      <w:r>
        <w:rPr>
          <w:rFonts w:ascii="Arial"/>
        </w:rPr>
        <w:t xml:space="preserve">Dr. </w:t>
      </w:r>
      <w:proofErr w:type="spellStart"/>
      <w:r>
        <w:rPr>
          <w:rFonts w:ascii="Arial"/>
        </w:rPr>
        <w:t>Minyahil</w:t>
      </w:r>
      <w:proofErr w:type="spellEnd"/>
      <w:r>
        <w:rPr>
          <w:rFonts w:ascii="Arial"/>
        </w:rPr>
        <w:t xml:space="preserve"> </w:t>
      </w:r>
      <w:proofErr w:type="spellStart"/>
      <w:r>
        <w:rPr>
          <w:rFonts w:ascii="Arial"/>
        </w:rPr>
        <w:t>Alebachew</w:t>
      </w:r>
      <w:proofErr w:type="spellEnd"/>
      <w:r>
        <w:rPr>
          <w:rFonts w:ascii="Arial"/>
        </w:rPr>
        <w:t>, Clinical Pharmacist</w:t>
      </w:r>
      <w:r>
        <w:rPr>
          <w:rFonts w:ascii="Arial"/>
        </w:rPr>
        <w:t>, Addis Ababa University, Addis Ababa, Ethiopia</w:t>
      </w:r>
      <w:r>
        <w:rPr>
          <w:rFonts w:ascii="Arial"/>
        </w:rPr>
        <w:t xml:space="preserve"> </w:t>
      </w:r>
      <w:r w:rsidR="0078738A">
        <w:rPr>
          <w:rFonts w:ascii="Arial"/>
        </w:rPr>
        <w:t>Dr</w:t>
      </w:r>
      <w:r w:rsidR="00BC3AB3">
        <w:rPr>
          <w:rFonts w:ascii="Arial"/>
        </w:rPr>
        <w:t>.</w:t>
      </w:r>
      <w:r w:rsidR="0078738A">
        <w:rPr>
          <w:rFonts w:ascii="Arial"/>
        </w:rPr>
        <w:t xml:space="preserve"> </w:t>
      </w:r>
      <w:proofErr w:type="spellStart"/>
      <w:r>
        <w:rPr>
          <w:rFonts w:ascii="Arial"/>
        </w:rPr>
        <w:t>Workineh</w:t>
      </w:r>
      <w:proofErr w:type="spellEnd"/>
      <w:r>
        <w:rPr>
          <w:rFonts w:ascii="Arial"/>
        </w:rPr>
        <w:t xml:space="preserve"> S, Ph</w:t>
      </w:r>
      <w:r w:rsidR="005973B9">
        <w:rPr>
          <w:rFonts w:ascii="Arial"/>
        </w:rPr>
        <w:t xml:space="preserve">D, </w:t>
      </w:r>
      <w:r>
        <w:rPr>
          <w:rFonts w:ascii="Arial"/>
        </w:rPr>
        <w:t>Pharmacologist</w:t>
      </w:r>
      <w:r w:rsidR="005973B9">
        <w:rPr>
          <w:rFonts w:ascii="Arial"/>
        </w:rPr>
        <w:t xml:space="preserve">, </w:t>
      </w:r>
      <w:r>
        <w:rPr>
          <w:rFonts w:ascii="Arial"/>
        </w:rPr>
        <w:t>Addis Ababa</w:t>
      </w:r>
      <w:r w:rsidR="00E476FA">
        <w:rPr>
          <w:rFonts w:ascii="Arial"/>
        </w:rPr>
        <w:t xml:space="preserve"> University, </w:t>
      </w:r>
      <w:r>
        <w:rPr>
          <w:rFonts w:ascii="Arial"/>
        </w:rPr>
        <w:t>Addis Ababa</w:t>
      </w:r>
      <w:r w:rsidR="00E476FA">
        <w:rPr>
          <w:rFonts w:ascii="Arial"/>
        </w:rPr>
        <w:t>, Ethiopia</w:t>
      </w:r>
      <w:r>
        <w:rPr>
          <w:rFonts w:ascii="Arial"/>
        </w:rPr>
        <w:t xml:space="preserve">, Prof. </w:t>
      </w:r>
      <w:proofErr w:type="spellStart"/>
      <w:r>
        <w:rPr>
          <w:rFonts w:ascii="Arial"/>
        </w:rPr>
        <w:t>Ephrem</w:t>
      </w:r>
      <w:proofErr w:type="spellEnd"/>
      <w:r>
        <w:rPr>
          <w:rFonts w:ascii="Arial"/>
        </w:rPr>
        <w:t xml:space="preserve"> E, Prof, </w:t>
      </w:r>
      <w:r>
        <w:rPr>
          <w:rFonts w:ascii="Arial"/>
        </w:rPr>
        <w:t>Pharmacologist, Addis Ababa University, Addis Ababa, Ethiopia</w:t>
      </w:r>
    </w:p>
    <w:p w:rsidR="00AE3E37" w:rsidRDefault="00A9710C" w:rsidP="001628DB">
      <w:pPr>
        <w:pStyle w:val="Heading3"/>
        <w:spacing w:before="147"/>
        <w:ind w:left="0"/>
        <w:jc w:val="both"/>
      </w:pPr>
      <w:r w:rsidRPr="008C67A8">
        <w:rPr>
          <w:color w:val="BF5A14"/>
        </w:rPr>
        <w:lastRenderedPageBreak/>
        <w:t>Abstract</w:t>
      </w:r>
      <w:r w:rsidR="00404E5B">
        <w:rPr>
          <w:color w:val="BF5A14"/>
        </w:rPr>
        <w:t xml:space="preserve"> </w:t>
      </w:r>
    </w:p>
    <w:p w:rsidR="00C7661C" w:rsidRPr="009B4115" w:rsidRDefault="00C7661C" w:rsidP="00C7661C">
      <w:pPr>
        <w:autoSpaceDE w:val="0"/>
        <w:autoSpaceDN w:val="0"/>
        <w:adjustRightInd w:val="0"/>
        <w:spacing w:before="240"/>
        <w:jc w:val="both"/>
        <w:rPr>
          <w:rFonts w:asciiTheme="minorHAnsi" w:hAnsiTheme="minorHAnsi" w:cstheme="minorHAnsi"/>
          <w:color w:val="000000" w:themeColor="text1"/>
          <w:sz w:val="18"/>
          <w:szCs w:val="20"/>
        </w:rPr>
      </w:pPr>
      <w:bookmarkStart w:id="0" w:name="_GoBack"/>
      <w:r w:rsidRPr="009B4115">
        <w:rPr>
          <w:rFonts w:asciiTheme="minorHAnsi" w:hAnsiTheme="minorHAnsi" w:cstheme="minorHAnsi"/>
          <w:b/>
          <w:color w:val="000000" w:themeColor="text1"/>
          <w:sz w:val="18"/>
          <w:szCs w:val="20"/>
        </w:rPr>
        <w:t>Background</w:t>
      </w:r>
      <w:r w:rsidRPr="009B4115">
        <w:rPr>
          <w:rFonts w:asciiTheme="minorHAnsi" w:hAnsiTheme="minorHAnsi" w:cstheme="minorHAnsi"/>
          <w:color w:val="000000" w:themeColor="text1"/>
          <w:sz w:val="18"/>
          <w:szCs w:val="20"/>
        </w:rPr>
        <w:t>: Patients with diabetes are at high risk of drug</w:t>
      </w:r>
      <w:r w:rsidRPr="009B4115">
        <w:rPr>
          <w:rFonts w:asciiTheme="minorHAnsi" w:hAnsiTheme="minorHAnsi" w:cstheme="minorHAnsi"/>
          <w:color w:val="000000" w:themeColor="text1"/>
          <w:spacing w:val="18"/>
          <w:sz w:val="18"/>
          <w:szCs w:val="20"/>
        </w:rPr>
        <w:t xml:space="preserve"> </w:t>
      </w:r>
      <w:r w:rsidRPr="009B4115">
        <w:rPr>
          <w:rFonts w:asciiTheme="minorHAnsi" w:hAnsiTheme="minorHAnsi" w:cstheme="minorHAnsi"/>
          <w:color w:val="000000" w:themeColor="text1"/>
          <w:sz w:val="18"/>
          <w:szCs w:val="20"/>
        </w:rPr>
        <w:t>t</w:t>
      </w:r>
      <w:r w:rsidRPr="009B4115">
        <w:rPr>
          <w:rFonts w:asciiTheme="minorHAnsi" w:hAnsiTheme="minorHAnsi" w:cstheme="minorHAnsi"/>
          <w:color w:val="000000" w:themeColor="text1"/>
          <w:spacing w:val="3"/>
          <w:sz w:val="18"/>
          <w:szCs w:val="20"/>
        </w:rPr>
        <w:t>h</w:t>
      </w:r>
      <w:r w:rsidRPr="009B4115">
        <w:rPr>
          <w:rFonts w:asciiTheme="minorHAnsi" w:hAnsiTheme="minorHAnsi" w:cstheme="minorHAnsi"/>
          <w:color w:val="000000" w:themeColor="text1"/>
          <w:spacing w:val="-1"/>
          <w:sz w:val="18"/>
          <w:szCs w:val="20"/>
        </w:rPr>
        <w:t>e</w:t>
      </w:r>
      <w:r w:rsidRPr="009B4115">
        <w:rPr>
          <w:rFonts w:asciiTheme="minorHAnsi" w:hAnsiTheme="minorHAnsi" w:cstheme="minorHAnsi"/>
          <w:color w:val="000000" w:themeColor="text1"/>
          <w:spacing w:val="1"/>
          <w:sz w:val="18"/>
          <w:szCs w:val="20"/>
        </w:rPr>
        <w:t>r</w:t>
      </w:r>
      <w:r w:rsidRPr="009B4115">
        <w:rPr>
          <w:rFonts w:asciiTheme="minorHAnsi" w:hAnsiTheme="minorHAnsi" w:cstheme="minorHAnsi"/>
          <w:color w:val="000000" w:themeColor="text1"/>
          <w:spacing w:val="-1"/>
          <w:sz w:val="18"/>
          <w:szCs w:val="20"/>
        </w:rPr>
        <w:t>a</w:t>
      </w:r>
      <w:r w:rsidRPr="009B4115">
        <w:rPr>
          <w:rFonts w:asciiTheme="minorHAnsi" w:hAnsiTheme="minorHAnsi" w:cstheme="minorHAnsi"/>
          <w:color w:val="000000" w:themeColor="text1"/>
          <w:spacing w:val="2"/>
          <w:sz w:val="18"/>
          <w:szCs w:val="20"/>
        </w:rPr>
        <w:t>p</w:t>
      </w:r>
      <w:r w:rsidRPr="009B4115">
        <w:rPr>
          <w:rFonts w:asciiTheme="minorHAnsi" w:hAnsiTheme="minorHAnsi" w:cstheme="minorHAnsi"/>
          <w:color w:val="000000" w:themeColor="text1"/>
          <w:sz w:val="18"/>
          <w:szCs w:val="20"/>
        </w:rPr>
        <w:t>y</w:t>
      </w:r>
      <w:r w:rsidRPr="009B4115">
        <w:rPr>
          <w:rFonts w:asciiTheme="minorHAnsi" w:hAnsiTheme="minorHAnsi" w:cstheme="minorHAnsi"/>
          <w:color w:val="000000" w:themeColor="text1"/>
          <w:spacing w:val="19"/>
          <w:sz w:val="18"/>
          <w:szCs w:val="20"/>
        </w:rPr>
        <w:t xml:space="preserve"> </w:t>
      </w:r>
      <w:r w:rsidRPr="009B4115">
        <w:rPr>
          <w:rFonts w:asciiTheme="minorHAnsi" w:hAnsiTheme="minorHAnsi" w:cstheme="minorHAnsi"/>
          <w:color w:val="000000" w:themeColor="text1"/>
          <w:sz w:val="18"/>
          <w:szCs w:val="20"/>
        </w:rPr>
        <w:t>p</w:t>
      </w:r>
      <w:r w:rsidRPr="009B4115">
        <w:rPr>
          <w:rFonts w:asciiTheme="minorHAnsi" w:hAnsiTheme="minorHAnsi" w:cstheme="minorHAnsi"/>
          <w:color w:val="000000" w:themeColor="text1"/>
          <w:spacing w:val="-1"/>
          <w:sz w:val="18"/>
          <w:szCs w:val="20"/>
        </w:rPr>
        <w:t>r</w:t>
      </w:r>
      <w:r w:rsidRPr="009B4115">
        <w:rPr>
          <w:rFonts w:asciiTheme="minorHAnsi" w:hAnsiTheme="minorHAnsi" w:cstheme="minorHAnsi"/>
          <w:color w:val="000000" w:themeColor="text1"/>
          <w:sz w:val="18"/>
          <w:szCs w:val="20"/>
        </w:rPr>
        <w:t xml:space="preserve">oblems (DTPs), as they are outstanding to multiple-medications. To date, studies regarding DTPs in patients with diabetes are limited in Ethiopia. Thus, this study was aimed to assess the magnitude, pattern and factors associated with DTPs among patients with type 2 diabetes at </w:t>
      </w:r>
      <w:proofErr w:type="spellStart"/>
      <w:r w:rsidRPr="009B4115">
        <w:rPr>
          <w:rFonts w:asciiTheme="minorHAnsi" w:hAnsiTheme="minorHAnsi" w:cstheme="minorHAnsi"/>
          <w:color w:val="000000" w:themeColor="text1"/>
          <w:sz w:val="18"/>
          <w:szCs w:val="20"/>
        </w:rPr>
        <w:t>Tikur</w:t>
      </w:r>
      <w:proofErr w:type="spellEnd"/>
      <w:r w:rsidRPr="009B4115">
        <w:rPr>
          <w:rFonts w:asciiTheme="minorHAnsi" w:hAnsiTheme="minorHAnsi" w:cstheme="minorHAnsi"/>
          <w:color w:val="000000" w:themeColor="text1"/>
          <w:sz w:val="18"/>
          <w:szCs w:val="20"/>
        </w:rPr>
        <w:t xml:space="preserve"> </w:t>
      </w:r>
      <w:proofErr w:type="spellStart"/>
      <w:r w:rsidRPr="009B4115">
        <w:rPr>
          <w:rFonts w:asciiTheme="minorHAnsi" w:hAnsiTheme="minorHAnsi" w:cstheme="minorHAnsi"/>
          <w:color w:val="000000" w:themeColor="text1"/>
          <w:sz w:val="18"/>
          <w:szCs w:val="20"/>
        </w:rPr>
        <w:t>Anbessa</w:t>
      </w:r>
      <w:proofErr w:type="spellEnd"/>
      <w:r w:rsidRPr="009B4115">
        <w:rPr>
          <w:rFonts w:asciiTheme="minorHAnsi" w:hAnsiTheme="minorHAnsi" w:cstheme="minorHAnsi"/>
          <w:color w:val="000000" w:themeColor="text1"/>
          <w:sz w:val="18"/>
          <w:szCs w:val="20"/>
        </w:rPr>
        <w:t xml:space="preserve"> Specialized Hospital. </w:t>
      </w:r>
      <w:r w:rsidRPr="009B4115">
        <w:rPr>
          <w:rFonts w:asciiTheme="minorHAnsi" w:hAnsiTheme="minorHAnsi" w:cstheme="minorHAnsi"/>
          <w:b/>
          <w:color w:val="000000" w:themeColor="text1"/>
          <w:sz w:val="18"/>
          <w:szCs w:val="20"/>
        </w:rPr>
        <w:t>Method</w:t>
      </w:r>
      <w:r w:rsidRPr="009B4115">
        <w:rPr>
          <w:rFonts w:asciiTheme="minorHAnsi" w:hAnsiTheme="minorHAnsi" w:cstheme="minorHAnsi"/>
          <w:b/>
          <w:color w:val="000000" w:themeColor="text1"/>
          <w:sz w:val="18"/>
          <w:szCs w:val="20"/>
        </w:rPr>
        <w:t>s</w:t>
      </w:r>
      <w:r w:rsidRPr="009B4115">
        <w:rPr>
          <w:rFonts w:asciiTheme="minorHAnsi" w:hAnsiTheme="minorHAnsi" w:cstheme="minorHAnsi"/>
          <w:color w:val="000000" w:themeColor="text1"/>
          <w:sz w:val="18"/>
          <w:szCs w:val="20"/>
        </w:rPr>
        <w:t xml:space="preserve">: A cross sectional study was conducted among 357 participants who fulfilled the inclusion criteria. </w:t>
      </w:r>
      <w:r w:rsidRPr="009B4115">
        <w:rPr>
          <w:rFonts w:asciiTheme="minorHAnsi" w:hAnsiTheme="minorHAnsi" w:cstheme="minorHAnsi"/>
          <w:color w:val="000000" w:themeColor="text1"/>
          <w:spacing w:val="2"/>
          <w:sz w:val="18"/>
          <w:szCs w:val="20"/>
        </w:rPr>
        <w:t>Participants</w:t>
      </w:r>
      <w:r w:rsidRPr="009B4115">
        <w:rPr>
          <w:rFonts w:asciiTheme="minorHAnsi" w:hAnsiTheme="minorHAnsi" w:cstheme="minorHAnsi"/>
          <w:color w:val="000000" w:themeColor="text1"/>
          <w:spacing w:val="31"/>
          <w:sz w:val="18"/>
          <w:szCs w:val="20"/>
        </w:rPr>
        <w:t xml:space="preserve"> </w:t>
      </w:r>
      <w:r w:rsidRPr="009B4115">
        <w:rPr>
          <w:rFonts w:asciiTheme="minorHAnsi" w:hAnsiTheme="minorHAnsi" w:cstheme="minorHAnsi"/>
          <w:color w:val="000000" w:themeColor="text1"/>
          <w:sz w:val="18"/>
          <w:szCs w:val="20"/>
        </w:rPr>
        <w:t>w</w:t>
      </w:r>
      <w:r w:rsidRPr="009B4115">
        <w:rPr>
          <w:rFonts w:asciiTheme="minorHAnsi" w:hAnsiTheme="minorHAnsi" w:cstheme="minorHAnsi"/>
          <w:color w:val="000000" w:themeColor="text1"/>
          <w:spacing w:val="1"/>
          <w:sz w:val="18"/>
          <w:szCs w:val="20"/>
        </w:rPr>
        <w:t>e</w:t>
      </w:r>
      <w:r w:rsidRPr="009B4115">
        <w:rPr>
          <w:rFonts w:asciiTheme="minorHAnsi" w:hAnsiTheme="minorHAnsi" w:cstheme="minorHAnsi"/>
          <w:color w:val="000000" w:themeColor="text1"/>
          <w:sz w:val="18"/>
          <w:szCs w:val="20"/>
        </w:rPr>
        <w:t>re</w:t>
      </w:r>
      <w:r w:rsidRPr="009B4115">
        <w:rPr>
          <w:rFonts w:asciiTheme="minorHAnsi" w:hAnsiTheme="minorHAnsi" w:cstheme="minorHAnsi"/>
          <w:color w:val="000000" w:themeColor="text1"/>
          <w:spacing w:val="29"/>
          <w:sz w:val="18"/>
          <w:szCs w:val="20"/>
        </w:rPr>
        <w:t xml:space="preserve"> </w:t>
      </w:r>
      <w:r w:rsidRPr="009B4115">
        <w:rPr>
          <w:rFonts w:asciiTheme="minorHAnsi" w:hAnsiTheme="minorHAnsi" w:cstheme="minorHAnsi"/>
          <w:color w:val="000000" w:themeColor="text1"/>
          <w:sz w:val="18"/>
          <w:szCs w:val="20"/>
        </w:rPr>
        <w:t>in</w:t>
      </w:r>
      <w:r w:rsidRPr="009B4115">
        <w:rPr>
          <w:rFonts w:asciiTheme="minorHAnsi" w:hAnsiTheme="minorHAnsi" w:cstheme="minorHAnsi"/>
          <w:color w:val="000000" w:themeColor="text1"/>
          <w:spacing w:val="1"/>
          <w:sz w:val="18"/>
          <w:szCs w:val="20"/>
        </w:rPr>
        <w:t>t</w:t>
      </w:r>
      <w:r w:rsidRPr="009B4115">
        <w:rPr>
          <w:rFonts w:asciiTheme="minorHAnsi" w:hAnsiTheme="minorHAnsi" w:cstheme="minorHAnsi"/>
          <w:color w:val="000000" w:themeColor="text1"/>
          <w:spacing w:val="-1"/>
          <w:sz w:val="18"/>
          <w:szCs w:val="20"/>
        </w:rPr>
        <w:t>e</w:t>
      </w:r>
      <w:r w:rsidRPr="009B4115">
        <w:rPr>
          <w:rFonts w:asciiTheme="minorHAnsi" w:hAnsiTheme="minorHAnsi" w:cstheme="minorHAnsi"/>
          <w:color w:val="000000" w:themeColor="text1"/>
          <w:spacing w:val="1"/>
          <w:sz w:val="18"/>
          <w:szCs w:val="20"/>
        </w:rPr>
        <w:t>r</w:t>
      </w:r>
      <w:r w:rsidRPr="009B4115">
        <w:rPr>
          <w:rFonts w:asciiTheme="minorHAnsi" w:hAnsiTheme="minorHAnsi" w:cstheme="minorHAnsi"/>
          <w:color w:val="000000" w:themeColor="text1"/>
          <w:sz w:val="18"/>
          <w:szCs w:val="20"/>
        </w:rPr>
        <w:t>viewed usi</w:t>
      </w:r>
      <w:r w:rsidRPr="009B4115">
        <w:rPr>
          <w:rFonts w:asciiTheme="minorHAnsi" w:hAnsiTheme="minorHAnsi" w:cstheme="minorHAnsi"/>
          <w:color w:val="000000" w:themeColor="text1"/>
          <w:spacing w:val="3"/>
          <w:sz w:val="18"/>
          <w:szCs w:val="20"/>
        </w:rPr>
        <w:t>n</w:t>
      </w:r>
      <w:r w:rsidRPr="009B4115">
        <w:rPr>
          <w:rFonts w:asciiTheme="minorHAnsi" w:hAnsiTheme="minorHAnsi" w:cstheme="minorHAnsi"/>
          <w:color w:val="000000" w:themeColor="text1"/>
          <w:sz w:val="18"/>
          <w:szCs w:val="20"/>
        </w:rPr>
        <w:t>g</w:t>
      </w:r>
      <w:r w:rsidRPr="009B4115">
        <w:rPr>
          <w:rFonts w:asciiTheme="minorHAnsi" w:hAnsiTheme="minorHAnsi" w:cstheme="minorHAnsi"/>
          <w:color w:val="000000" w:themeColor="text1"/>
          <w:spacing w:val="27"/>
          <w:sz w:val="18"/>
          <w:szCs w:val="20"/>
        </w:rPr>
        <w:t xml:space="preserve"> </w:t>
      </w:r>
      <w:r w:rsidRPr="009B4115">
        <w:rPr>
          <w:rFonts w:asciiTheme="minorHAnsi" w:hAnsiTheme="minorHAnsi" w:cstheme="minorHAnsi"/>
          <w:color w:val="000000" w:themeColor="text1"/>
          <w:sz w:val="18"/>
          <w:szCs w:val="20"/>
        </w:rPr>
        <w:t>stru</w:t>
      </w:r>
      <w:r w:rsidRPr="009B4115">
        <w:rPr>
          <w:rFonts w:asciiTheme="minorHAnsi" w:hAnsiTheme="minorHAnsi" w:cstheme="minorHAnsi"/>
          <w:color w:val="000000" w:themeColor="text1"/>
          <w:spacing w:val="-1"/>
          <w:sz w:val="18"/>
          <w:szCs w:val="20"/>
        </w:rPr>
        <w:t>c</w:t>
      </w:r>
      <w:r w:rsidRPr="009B4115">
        <w:rPr>
          <w:rFonts w:asciiTheme="minorHAnsi" w:hAnsiTheme="minorHAnsi" w:cstheme="minorHAnsi"/>
          <w:color w:val="000000" w:themeColor="text1"/>
          <w:sz w:val="18"/>
          <w:szCs w:val="20"/>
        </w:rPr>
        <w:t>tu</w:t>
      </w:r>
      <w:r w:rsidRPr="009B4115">
        <w:rPr>
          <w:rFonts w:asciiTheme="minorHAnsi" w:hAnsiTheme="minorHAnsi" w:cstheme="minorHAnsi"/>
          <w:color w:val="000000" w:themeColor="text1"/>
          <w:spacing w:val="2"/>
          <w:sz w:val="18"/>
          <w:szCs w:val="20"/>
        </w:rPr>
        <w:t>r</w:t>
      </w:r>
      <w:r w:rsidRPr="009B4115">
        <w:rPr>
          <w:rFonts w:asciiTheme="minorHAnsi" w:hAnsiTheme="minorHAnsi" w:cstheme="minorHAnsi"/>
          <w:color w:val="000000" w:themeColor="text1"/>
          <w:spacing w:val="-1"/>
          <w:sz w:val="18"/>
          <w:szCs w:val="20"/>
        </w:rPr>
        <w:t>e</w:t>
      </w:r>
      <w:r w:rsidRPr="009B4115">
        <w:rPr>
          <w:rFonts w:asciiTheme="minorHAnsi" w:hAnsiTheme="minorHAnsi" w:cstheme="minorHAnsi"/>
          <w:color w:val="000000" w:themeColor="text1"/>
          <w:sz w:val="18"/>
          <w:szCs w:val="20"/>
        </w:rPr>
        <w:t>d</w:t>
      </w:r>
      <w:r w:rsidRPr="009B4115">
        <w:rPr>
          <w:rFonts w:asciiTheme="minorHAnsi" w:hAnsiTheme="minorHAnsi" w:cstheme="minorHAnsi"/>
          <w:color w:val="000000" w:themeColor="text1"/>
          <w:spacing w:val="29"/>
          <w:sz w:val="18"/>
          <w:szCs w:val="20"/>
        </w:rPr>
        <w:t xml:space="preserve"> </w:t>
      </w:r>
      <w:r w:rsidRPr="009B4115">
        <w:rPr>
          <w:rFonts w:asciiTheme="minorHAnsi" w:hAnsiTheme="minorHAnsi" w:cstheme="minorHAnsi"/>
          <w:color w:val="000000" w:themeColor="text1"/>
          <w:spacing w:val="2"/>
          <w:sz w:val="18"/>
          <w:szCs w:val="20"/>
        </w:rPr>
        <w:t>d</w:t>
      </w:r>
      <w:r w:rsidRPr="009B4115">
        <w:rPr>
          <w:rFonts w:asciiTheme="minorHAnsi" w:hAnsiTheme="minorHAnsi" w:cstheme="minorHAnsi"/>
          <w:color w:val="000000" w:themeColor="text1"/>
          <w:spacing w:val="-1"/>
          <w:sz w:val="18"/>
          <w:szCs w:val="20"/>
        </w:rPr>
        <w:t>a</w:t>
      </w:r>
      <w:r w:rsidRPr="009B4115">
        <w:rPr>
          <w:rFonts w:asciiTheme="minorHAnsi" w:hAnsiTheme="minorHAnsi" w:cstheme="minorHAnsi"/>
          <w:color w:val="000000" w:themeColor="text1"/>
          <w:sz w:val="18"/>
          <w:szCs w:val="20"/>
        </w:rPr>
        <w:t>ta</w:t>
      </w:r>
      <w:r w:rsidRPr="009B4115">
        <w:rPr>
          <w:rFonts w:asciiTheme="minorHAnsi" w:hAnsiTheme="minorHAnsi" w:cstheme="minorHAnsi"/>
          <w:color w:val="000000" w:themeColor="text1"/>
          <w:spacing w:val="28"/>
          <w:sz w:val="18"/>
          <w:szCs w:val="20"/>
        </w:rPr>
        <w:t xml:space="preserve"> </w:t>
      </w:r>
      <w:r w:rsidRPr="009B4115">
        <w:rPr>
          <w:rFonts w:asciiTheme="minorHAnsi" w:hAnsiTheme="minorHAnsi" w:cstheme="minorHAnsi"/>
          <w:color w:val="000000" w:themeColor="text1"/>
          <w:spacing w:val="-1"/>
          <w:sz w:val="18"/>
          <w:szCs w:val="20"/>
        </w:rPr>
        <w:t>c</w:t>
      </w:r>
      <w:r w:rsidRPr="009B4115">
        <w:rPr>
          <w:rFonts w:asciiTheme="minorHAnsi" w:hAnsiTheme="minorHAnsi" w:cstheme="minorHAnsi"/>
          <w:color w:val="000000" w:themeColor="text1"/>
          <w:sz w:val="18"/>
          <w:szCs w:val="20"/>
        </w:rPr>
        <w:t>ol</w:t>
      </w:r>
      <w:r w:rsidRPr="009B4115">
        <w:rPr>
          <w:rFonts w:asciiTheme="minorHAnsi" w:hAnsiTheme="minorHAnsi" w:cstheme="minorHAnsi"/>
          <w:color w:val="000000" w:themeColor="text1"/>
          <w:spacing w:val="1"/>
          <w:sz w:val="18"/>
          <w:szCs w:val="20"/>
        </w:rPr>
        <w:t>l</w:t>
      </w:r>
      <w:r w:rsidRPr="009B4115">
        <w:rPr>
          <w:rFonts w:asciiTheme="minorHAnsi" w:hAnsiTheme="minorHAnsi" w:cstheme="minorHAnsi"/>
          <w:color w:val="000000" w:themeColor="text1"/>
          <w:spacing w:val="-1"/>
          <w:sz w:val="18"/>
          <w:szCs w:val="20"/>
        </w:rPr>
        <w:t>ec</w:t>
      </w:r>
      <w:r w:rsidRPr="009B4115">
        <w:rPr>
          <w:rFonts w:asciiTheme="minorHAnsi" w:hAnsiTheme="minorHAnsi" w:cstheme="minorHAnsi"/>
          <w:color w:val="000000" w:themeColor="text1"/>
          <w:sz w:val="18"/>
          <w:szCs w:val="20"/>
        </w:rPr>
        <w:t>t</w:t>
      </w:r>
      <w:r w:rsidRPr="009B4115">
        <w:rPr>
          <w:rFonts w:asciiTheme="minorHAnsi" w:hAnsiTheme="minorHAnsi" w:cstheme="minorHAnsi"/>
          <w:color w:val="000000" w:themeColor="text1"/>
          <w:spacing w:val="1"/>
          <w:sz w:val="18"/>
          <w:szCs w:val="20"/>
        </w:rPr>
        <w:t>i</w:t>
      </w:r>
      <w:r w:rsidRPr="009B4115">
        <w:rPr>
          <w:rFonts w:asciiTheme="minorHAnsi" w:hAnsiTheme="minorHAnsi" w:cstheme="minorHAnsi"/>
          <w:color w:val="000000" w:themeColor="text1"/>
          <w:sz w:val="18"/>
          <w:szCs w:val="20"/>
        </w:rPr>
        <w:t>on format,</w:t>
      </w:r>
      <w:r w:rsidRPr="009B4115">
        <w:rPr>
          <w:rFonts w:asciiTheme="minorHAnsi" w:hAnsiTheme="minorHAnsi" w:cstheme="minorHAnsi"/>
          <w:color w:val="000000" w:themeColor="text1"/>
          <w:spacing w:val="5"/>
          <w:sz w:val="18"/>
          <w:szCs w:val="20"/>
        </w:rPr>
        <w:t xml:space="preserve"> involving medical </w:t>
      </w:r>
      <w:r w:rsidRPr="009B4115">
        <w:rPr>
          <w:rFonts w:asciiTheme="minorHAnsi" w:hAnsiTheme="minorHAnsi" w:cstheme="minorHAnsi"/>
          <w:color w:val="000000" w:themeColor="text1"/>
          <w:spacing w:val="2"/>
          <w:sz w:val="18"/>
          <w:szCs w:val="20"/>
        </w:rPr>
        <w:t xml:space="preserve">chart </w:t>
      </w:r>
      <w:r w:rsidRPr="009B4115">
        <w:rPr>
          <w:rFonts w:asciiTheme="minorHAnsi" w:hAnsiTheme="minorHAnsi" w:cstheme="minorHAnsi"/>
          <w:color w:val="000000" w:themeColor="text1"/>
          <w:spacing w:val="1"/>
          <w:sz w:val="18"/>
          <w:szCs w:val="20"/>
        </w:rPr>
        <w:t>r</w:t>
      </w:r>
      <w:r w:rsidRPr="009B4115">
        <w:rPr>
          <w:rFonts w:asciiTheme="minorHAnsi" w:hAnsiTheme="minorHAnsi" w:cstheme="minorHAnsi"/>
          <w:color w:val="000000" w:themeColor="text1"/>
          <w:spacing w:val="-1"/>
          <w:sz w:val="18"/>
          <w:szCs w:val="20"/>
        </w:rPr>
        <w:t>e</w:t>
      </w:r>
      <w:r w:rsidRPr="009B4115">
        <w:rPr>
          <w:rFonts w:asciiTheme="minorHAnsi" w:hAnsiTheme="minorHAnsi" w:cstheme="minorHAnsi"/>
          <w:color w:val="000000" w:themeColor="text1"/>
          <w:sz w:val="18"/>
          <w:szCs w:val="20"/>
        </w:rPr>
        <w:t>view</w:t>
      </w:r>
      <w:r w:rsidRPr="009B4115">
        <w:rPr>
          <w:rFonts w:asciiTheme="minorHAnsi" w:hAnsiTheme="minorHAnsi" w:cstheme="minorHAnsi"/>
          <w:color w:val="000000" w:themeColor="text1"/>
          <w:spacing w:val="2"/>
          <w:sz w:val="18"/>
          <w:szCs w:val="20"/>
        </w:rPr>
        <w:t xml:space="preserve"> retrospectively</w:t>
      </w:r>
      <w:r w:rsidRPr="009B4115">
        <w:rPr>
          <w:rFonts w:asciiTheme="minorHAnsi" w:hAnsiTheme="minorHAnsi" w:cstheme="minorHAnsi"/>
          <w:color w:val="000000" w:themeColor="text1"/>
          <w:sz w:val="18"/>
          <w:szCs w:val="20"/>
        </w:rPr>
        <w:t xml:space="preserve">. Drug therapy problems (DTPs) were assessed using </w:t>
      </w:r>
      <w:proofErr w:type="spellStart"/>
      <w:r w:rsidRPr="009B4115">
        <w:rPr>
          <w:rFonts w:asciiTheme="minorHAnsi" w:hAnsiTheme="minorHAnsi" w:cstheme="minorHAnsi"/>
          <w:color w:val="000000" w:themeColor="text1"/>
          <w:sz w:val="18"/>
          <w:szCs w:val="20"/>
        </w:rPr>
        <w:t>Cipolle’s</w:t>
      </w:r>
      <w:proofErr w:type="spellEnd"/>
      <w:r w:rsidRPr="009B4115">
        <w:rPr>
          <w:rFonts w:asciiTheme="minorHAnsi" w:hAnsiTheme="minorHAnsi" w:cstheme="minorHAnsi"/>
          <w:color w:val="000000" w:themeColor="text1"/>
          <w:sz w:val="18"/>
          <w:szCs w:val="20"/>
        </w:rPr>
        <w:t xml:space="preserve"> classification system. </w:t>
      </w:r>
      <w:r w:rsidRPr="009B4115">
        <w:rPr>
          <w:rFonts w:asciiTheme="minorHAnsi" w:hAnsiTheme="minorHAnsi" w:cstheme="minorHAnsi"/>
          <w:color w:val="000000" w:themeColor="text1"/>
          <w:spacing w:val="-1"/>
          <w:sz w:val="18"/>
          <w:szCs w:val="20"/>
        </w:rPr>
        <w:t xml:space="preserve">Data </w:t>
      </w:r>
      <w:r w:rsidRPr="009B4115">
        <w:rPr>
          <w:rFonts w:asciiTheme="minorHAnsi" w:hAnsiTheme="minorHAnsi" w:cstheme="minorHAnsi"/>
          <w:color w:val="000000" w:themeColor="text1"/>
          <w:sz w:val="18"/>
          <w:szCs w:val="20"/>
        </w:rPr>
        <w:t>were reported by m</w:t>
      </w:r>
      <w:r w:rsidRPr="009B4115">
        <w:rPr>
          <w:rFonts w:asciiTheme="minorHAnsi" w:hAnsiTheme="minorHAnsi" w:cstheme="minorHAnsi"/>
          <w:color w:val="000000" w:themeColor="text1"/>
          <w:spacing w:val="2"/>
          <w:sz w:val="18"/>
          <w:szCs w:val="20"/>
        </w:rPr>
        <w:t>e</w:t>
      </w:r>
      <w:r w:rsidRPr="009B4115">
        <w:rPr>
          <w:rFonts w:asciiTheme="minorHAnsi" w:hAnsiTheme="minorHAnsi" w:cstheme="minorHAnsi"/>
          <w:color w:val="000000" w:themeColor="text1"/>
          <w:spacing w:val="-1"/>
          <w:sz w:val="18"/>
          <w:szCs w:val="20"/>
        </w:rPr>
        <w:t>a</w:t>
      </w:r>
      <w:r w:rsidRPr="009B4115">
        <w:rPr>
          <w:rFonts w:asciiTheme="minorHAnsi" w:hAnsiTheme="minorHAnsi" w:cstheme="minorHAnsi"/>
          <w:color w:val="000000" w:themeColor="text1"/>
          <w:sz w:val="18"/>
          <w:szCs w:val="20"/>
        </w:rPr>
        <w:t>n</w:t>
      </w:r>
      <w:r w:rsidRPr="009B4115">
        <w:rPr>
          <w:rFonts w:asciiTheme="minorHAnsi" w:hAnsiTheme="minorHAnsi" w:cstheme="minorHAnsi"/>
          <w:color w:val="000000" w:themeColor="text1"/>
          <w:spacing w:val="14"/>
          <w:sz w:val="18"/>
          <w:szCs w:val="20"/>
        </w:rPr>
        <w:t>/</w:t>
      </w:r>
      <w:r w:rsidRPr="009B4115">
        <w:rPr>
          <w:rFonts w:asciiTheme="minorHAnsi" w:hAnsiTheme="minorHAnsi" w:cstheme="minorHAnsi"/>
          <w:color w:val="000000" w:themeColor="text1"/>
          <w:sz w:val="18"/>
          <w:szCs w:val="20"/>
        </w:rPr>
        <w:t xml:space="preserve">percentage and multivariate logistic regression analysis was performed to identify factors associated with DTPs. </w:t>
      </w:r>
      <w:r w:rsidRPr="009B4115">
        <w:rPr>
          <w:rFonts w:asciiTheme="minorHAnsi" w:hAnsiTheme="minorHAnsi" w:cstheme="minorHAnsi"/>
          <w:b/>
          <w:color w:val="000000" w:themeColor="text1"/>
          <w:sz w:val="18"/>
          <w:szCs w:val="20"/>
        </w:rPr>
        <w:t>Results</w:t>
      </w:r>
      <w:r w:rsidRPr="009B4115">
        <w:rPr>
          <w:rFonts w:asciiTheme="minorHAnsi" w:hAnsiTheme="minorHAnsi" w:cstheme="minorHAnsi"/>
          <w:color w:val="000000" w:themeColor="text1"/>
          <w:sz w:val="18"/>
          <w:szCs w:val="20"/>
        </w:rPr>
        <w:t xml:space="preserve">: A total of 193 DTPs in 164(45.9%) of participants were identified. Most commonly identified DTPs were ineffective drug therapy 54(26.1%), need additional </w:t>
      </w:r>
      <w:r w:rsidRPr="009B4115">
        <w:rPr>
          <w:rFonts w:asciiTheme="minorHAnsi" w:eastAsia="Times New Roman" w:hAnsiTheme="minorHAnsi" w:cstheme="minorHAnsi"/>
          <w:color w:val="000000" w:themeColor="text1"/>
          <w:sz w:val="18"/>
          <w:szCs w:val="20"/>
        </w:rPr>
        <w:t xml:space="preserve">drug </w:t>
      </w:r>
      <w:r w:rsidRPr="009B4115">
        <w:rPr>
          <w:rFonts w:asciiTheme="minorHAnsi" w:hAnsiTheme="minorHAnsi" w:cstheme="minorHAnsi"/>
          <w:color w:val="000000" w:themeColor="text1"/>
          <w:sz w:val="18"/>
          <w:szCs w:val="20"/>
        </w:rPr>
        <w:t>52(25.1%) and dosage too low 47(22.7%), Factors independently associated with DTPs were female gender (Adjusted Odds Ratio [AOR] =2.21, 95%CI; 1.32-3.72), number of comorbidities (≥3) (AOR=3.18</w:t>
      </w:r>
      <w:r w:rsidRPr="009B4115">
        <w:rPr>
          <w:rFonts w:asciiTheme="minorHAnsi" w:eastAsia="Times New Roman" w:hAnsiTheme="minorHAnsi" w:cstheme="minorHAnsi"/>
          <w:color w:val="000000" w:themeColor="text1"/>
          <w:sz w:val="18"/>
          <w:szCs w:val="20"/>
        </w:rPr>
        <w:t xml:space="preserve">, </w:t>
      </w:r>
      <w:r w:rsidRPr="009B4115">
        <w:rPr>
          <w:rFonts w:asciiTheme="minorHAnsi" w:hAnsiTheme="minorHAnsi" w:cstheme="minorHAnsi"/>
          <w:color w:val="000000" w:themeColor="text1"/>
          <w:sz w:val="18"/>
          <w:szCs w:val="20"/>
        </w:rPr>
        <w:t>95%</w:t>
      </w:r>
      <w:r w:rsidRPr="009B4115">
        <w:rPr>
          <w:rFonts w:asciiTheme="minorHAnsi" w:eastAsia="Times New Roman" w:hAnsiTheme="minorHAnsi" w:cstheme="minorHAnsi"/>
          <w:color w:val="000000" w:themeColor="text1"/>
          <w:sz w:val="18"/>
          <w:szCs w:val="20"/>
        </w:rPr>
        <w:t>CI</w:t>
      </w:r>
      <w:proofErr w:type="gramStart"/>
      <w:r w:rsidRPr="009B4115">
        <w:rPr>
          <w:rFonts w:asciiTheme="minorHAnsi" w:eastAsia="Times New Roman" w:hAnsiTheme="minorHAnsi" w:cstheme="minorHAnsi"/>
          <w:color w:val="000000" w:themeColor="text1"/>
          <w:sz w:val="18"/>
          <w:szCs w:val="20"/>
        </w:rPr>
        <w:t>;1.21</w:t>
      </w:r>
      <w:proofErr w:type="gramEnd"/>
      <w:r w:rsidRPr="009B4115">
        <w:rPr>
          <w:rFonts w:asciiTheme="minorHAnsi" w:eastAsia="Times New Roman" w:hAnsiTheme="minorHAnsi" w:cstheme="minorHAnsi"/>
          <w:color w:val="000000" w:themeColor="text1"/>
          <w:sz w:val="18"/>
          <w:szCs w:val="20"/>
        </w:rPr>
        <w:t>-8.38)</w:t>
      </w:r>
      <w:r w:rsidRPr="009B4115">
        <w:rPr>
          <w:rFonts w:asciiTheme="minorHAnsi" w:hAnsiTheme="minorHAnsi" w:cstheme="minorHAnsi"/>
          <w:color w:val="000000" w:themeColor="text1"/>
          <w:sz w:val="18"/>
          <w:szCs w:val="20"/>
        </w:rPr>
        <w:t xml:space="preserve">, non-adherence (AOR=4.52,95%CI;2.34-8.73). One-fourth (24.9%) of the participants were non-adherent to their medications. Factors associated with non-adherence were diabetes complications (AOR=2.02, 95%CI; 1.02-3.22), being female gender (AOR=1.71, 95%CI; 1.01-2.76) and primary and above level of education (AOR=0.42, 95%CI; 0.18-0.96). </w:t>
      </w:r>
      <w:r w:rsidRPr="009B4115">
        <w:rPr>
          <w:rFonts w:asciiTheme="minorHAnsi" w:hAnsiTheme="minorHAnsi" w:cstheme="minorHAnsi"/>
          <w:b/>
          <w:color w:val="000000" w:themeColor="text1"/>
          <w:sz w:val="18"/>
          <w:szCs w:val="20"/>
        </w:rPr>
        <w:t>Conclusion</w:t>
      </w:r>
      <w:r w:rsidRPr="009B4115">
        <w:rPr>
          <w:rFonts w:asciiTheme="minorHAnsi" w:hAnsiTheme="minorHAnsi" w:cstheme="minorHAnsi"/>
          <w:color w:val="000000" w:themeColor="text1"/>
          <w:sz w:val="18"/>
          <w:szCs w:val="20"/>
        </w:rPr>
        <w:t xml:space="preserve">: Drug therapy problems were substantially high. </w:t>
      </w:r>
      <w:r w:rsidRPr="009B4115">
        <w:rPr>
          <w:rFonts w:asciiTheme="minorHAnsi" w:eastAsia="Times New Roman" w:hAnsiTheme="minorHAnsi" w:cstheme="minorHAnsi"/>
          <w:color w:val="000000" w:themeColor="text1"/>
          <w:sz w:val="18"/>
          <w:szCs w:val="20"/>
        </w:rPr>
        <w:t>Ineffective drug therapy, need additional drug therapy and dosage too low, were commonly identified DTPs</w:t>
      </w:r>
      <w:r w:rsidRPr="009B4115">
        <w:rPr>
          <w:rFonts w:asciiTheme="minorHAnsi" w:hAnsiTheme="minorHAnsi" w:cstheme="minorHAnsi"/>
          <w:color w:val="000000" w:themeColor="text1"/>
          <w:sz w:val="18"/>
          <w:szCs w:val="20"/>
        </w:rPr>
        <w:t>. Nearly one-fourth of the study participants were non-adherent to their medications. In response to this finding,</w:t>
      </w:r>
      <w:r w:rsidRPr="009B4115">
        <w:rPr>
          <w:rFonts w:asciiTheme="minorHAnsi" w:hAnsiTheme="minorHAnsi" w:cstheme="minorHAnsi"/>
          <w:color w:val="000000"/>
          <w:sz w:val="18"/>
          <w:szCs w:val="20"/>
        </w:rPr>
        <w:t xml:space="preserve"> tailored future intervention that target in prevention and resolution of those </w:t>
      </w:r>
      <w:r w:rsidRPr="009B4115">
        <w:rPr>
          <w:rFonts w:asciiTheme="minorHAnsi" w:hAnsiTheme="minorHAnsi" w:cstheme="minorHAnsi"/>
          <w:color w:val="000000"/>
          <w:sz w:val="18"/>
          <w:szCs w:val="20"/>
        </w:rPr>
        <w:lastRenderedPageBreak/>
        <w:t>problems could be vital.</w:t>
      </w:r>
      <w:bookmarkEnd w:id="0"/>
    </w:p>
    <w:p w:rsidR="009F33BE" w:rsidRDefault="005973B9" w:rsidP="005973B9">
      <w:pPr>
        <w:spacing w:line="204" w:lineRule="exact"/>
        <w:rPr>
          <w:rFonts w:ascii="Arial"/>
          <w:b/>
          <w:color w:val="BF5A14"/>
          <w:sz w:val="20"/>
        </w:rPr>
      </w:pPr>
      <w:r>
        <w:rPr>
          <w:rFonts w:ascii="Arial"/>
          <w:b/>
          <w:color w:val="BF5A14"/>
          <w:sz w:val="20"/>
        </w:rPr>
        <w:br/>
      </w:r>
    </w:p>
    <w:p w:rsidR="009F33BE" w:rsidRDefault="009F33BE" w:rsidP="005973B9">
      <w:pPr>
        <w:spacing w:line="204" w:lineRule="exact"/>
        <w:rPr>
          <w:rFonts w:ascii="Arial"/>
          <w:b/>
          <w:color w:val="BF5A14"/>
          <w:sz w:val="20"/>
        </w:rPr>
      </w:pPr>
    </w:p>
    <w:p w:rsidR="005973B9" w:rsidRDefault="0003729D" w:rsidP="005973B9">
      <w:pPr>
        <w:spacing w:line="204" w:lineRule="exact"/>
        <w:rPr>
          <w:rFonts w:ascii="Arial"/>
          <w:b/>
          <w:sz w:val="20"/>
        </w:rPr>
      </w:pPr>
      <w:r>
        <w:rPr>
          <w:rFonts w:ascii="Arial"/>
          <w:b/>
          <w:color w:val="BF5A14"/>
          <w:sz w:val="20"/>
        </w:rPr>
        <w:t xml:space="preserve">    </w:t>
      </w:r>
      <w:r w:rsidR="005973B9">
        <w:rPr>
          <w:rFonts w:ascii="Arial"/>
          <w:b/>
          <w:color w:val="BF5A14"/>
          <w:sz w:val="20"/>
        </w:rPr>
        <w:t>Publications</w:t>
      </w:r>
      <w:r w:rsidR="00B14CF8">
        <w:rPr>
          <w:rFonts w:ascii="Arial"/>
          <w:b/>
          <w:color w:val="BF5A14"/>
          <w:sz w:val="20"/>
        </w:rPr>
        <w:t xml:space="preserve"> (8 of &gt; 21)</w:t>
      </w:r>
      <w:r w:rsidR="005973B9">
        <w:rPr>
          <w:rFonts w:ascii="Arial"/>
          <w:b/>
          <w:color w:val="BF5A14"/>
          <w:sz w:val="20"/>
        </w:rPr>
        <w:t xml:space="preserve"> </w:t>
      </w:r>
    </w:p>
    <w:p w:rsidR="00A77057" w:rsidRPr="008C67A8" w:rsidRDefault="00A77057" w:rsidP="00A77057">
      <w:pPr>
        <w:widowControl/>
        <w:numPr>
          <w:ilvl w:val="0"/>
          <w:numId w:val="4"/>
        </w:numPr>
        <w:spacing w:after="200" w:line="360" w:lineRule="auto"/>
        <w:ind w:hanging="180"/>
        <w:contextualSpacing/>
        <w:jc w:val="both"/>
        <w:rPr>
          <w:rStyle w:val="fontstyle01"/>
          <w:rFonts w:ascii="Tw Cen MT" w:eastAsia="Times New Roman" w:hAnsi="Tw Cen MT" w:cs="Times New Roman"/>
          <w:b/>
          <w:bCs/>
          <w:sz w:val="13"/>
          <w:szCs w:val="13"/>
          <w:u w:val="single"/>
        </w:rPr>
      </w:pPr>
      <w:r w:rsidRPr="008C67A8">
        <w:rPr>
          <w:rStyle w:val="fontstyle21"/>
          <w:rFonts w:ascii="Tw Cen MT" w:hAnsi="Tw Cen MT"/>
          <w:b w:val="0"/>
          <w:sz w:val="13"/>
          <w:szCs w:val="13"/>
        </w:rPr>
        <w:t>Yirga LN, Seid I, Tesfaye DK, Solomon</w:t>
      </w:r>
      <w:r w:rsidRPr="008C67A8">
        <w:rPr>
          <w:b/>
          <w:bCs/>
          <w:color w:val="000000"/>
          <w:sz w:val="13"/>
          <w:szCs w:val="13"/>
        </w:rPr>
        <w:t xml:space="preserve"> </w:t>
      </w:r>
      <w:r w:rsidRPr="008C67A8">
        <w:rPr>
          <w:rStyle w:val="fontstyle21"/>
          <w:rFonts w:ascii="Tw Cen MT" w:hAnsi="Tw Cen MT"/>
          <w:b w:val="0"/>
          <w:sz w:val="13"/>
          <w:szCs w:val="13"/>
        </w:rPr>
        <w:t xml:space="preserve">WA, Tesfay MA, Kidu G, </w:t>
      </w:r>
      <w:r w:rsidRPr="008C67A8">
        <w:rPr>
          <w:rStyle w:val="fontstyle21"/>
          <w:rFonts w:ascii="Tw Cen MT" w:hAnsi="Tw Cen MT"/>
          <w:sz w:val="13"/>
          <w:szCs w:val="13"/>
        </w:rPr>
        <w:t>Gebre TD</w:t>
      </w:r>
      <w:r w:rsidRPr="008C67A8">
        <w:rPr>
          <w:rStyle w:val="fontstyle21"/>
          <w:rFonts w:ascii="Tw Cen MT" w:hAnsi="Tw Cen MT"/>
          <w:b w:val="0"/>
          <w:sz w:val="13"/>
          <w:szCs w:val="13"/>
        </w:rPr>
        <w:t>,</w:t>
      </w:r>
      <w:r w:rsidRPr="008C67A8">
        <w:rPr>
          <w:b/>
          <w:bCs/>
          <w:color w:val="000000"/>
          <w:sz w:val="13"/>
          <w:szCs w:val="13"/>
        </w:rPr>
        <w:t xml:space="preserve"> </w:t>
      </w:r>
      <w:r w:rsidRPr="008C67A8">
        <w:rPr>
          <w:rStyle w:val="fontstyle21"/>
          <w:rFonts w:ascii="Tw Cen MT" w:hAnsi="Tw Cen MT"/>
          <w:b w:val="0"/>
          <w:sz w:val="13"/>
          <w:szCs w:val="13"/>
        </w:rPr>
        <w:t>Desalegn K</w:t>
      </w:r>
      <w:r w:rsidRPr="008C67A8">
        <w:rPr>
          <w:rStyle w:val="fontstyle01"/>
          <w:rFonts w:ascii="Tw Cen MT" w:eastAsia="Times New Roman" w:hAnsi="Tw Cen MT" w:cs="Times New Roman"/>
          <w:b/>
          <w:bCs/>
          <w:sz w:val="13"/>
          <w:szCs w:val="13"/>
        </w:rPr>
        <w:t xml:space="preserve">. </w:t>
      </w:r>
      <w:r w:rsidRPr="008C67A8">
        <w:rPr>
          <w:rStyle w:val="fontstyle01"/>
          <w:rFonts w:ascii="Tw Cen MT" w:hAnsi="Tw Cen MT"/>
          <w:sz w:val="13"/>
          <w:szCs w:val="13"/>
        </w:rPr>
        <w:t>Practice and predictors of self-care behaviors</w:t>
      </w:r>
      <w:r w:rsidRPr="008C67A8">
        <w:rPr>
          <w:color w:val="000000"/>
          <w:sz w:val="13"/>
          <w:szCs w:val="13"/>
        </w:rPr>
        <w:t xml:space="preserve"> </w:t>
      </w:r>
      <w:r w:rsidRPr="008C67A8">
        <w:rPr>
          <w:rStyle w:val="fontstyle01"/>
          <w:rFonts w:ascii="Tw Cen MT" w:hAnsi="Tw Cen MT"/>
          <w:sz w:val="13"/>
          <w:szCs w:val="13"/>
        </w:rPr>
        <w:t>among ambulatory patients with</w:t>
      </w:r>
      <w:r w:rsidRPr="008C67A8">
        <w:rPr>
          <w:color w:val="000000"/>
          <w:sz w:val="13"/>
          <w:szCs w:val="13"/>
        </w:rPr>
        <w:t xml:space="preserve"> </w:t>
      </w:r>
      <w:r w:rsidRPr="008C67A8">
        <w:rPr>
          <w:rStyle w:val="fontstyle01"/>
          <w:rFonts w:ascii="Tw Cen MT" w:hAnsi="Tw Cen MT"/>
          <w:sz w:val="13"/>
          <w:szCs w:val="13"/>
        </w:rPr>
        <w:t xml:space="preserve">hypertension in Ethiopia. 2019, </w:t>
      </w:r>
      <w:r w:rsidRPr="008C67A8">
        <w:rPr>
          <w:color w:val="000000"/>
          <w:sz w:val="13"/>
          <w:szCs w:val="13"/>
        </w:rPr>
        <w:t xml:space="preserve">PLoS ONE 14(6): e0218947. </w:t>
      </w:r>
      <w:r w:rsidRPr="008C67A8">
        <w:rPr>
          <w:color w:val="3C65AD"/>
          <w:sz w:val="13"/>
          <w:szCs w:val="13"/>
        </w:rPr>
        <w:t>https://doi. org/10.1371/journal.pone.0218947.</w:t>
      </w:r>
    </w:p>
    <w:p w:rsidR="00DF1513" w:rsidRPr="00DF1513" w:rsidRDefault="00DF1513" w:rsidP="0003729D">
      <w:pPr>
        <w:widowControl/>
        <w:numPr>
          <w:ilvl w:val="0"/>
          <w:numId w:val="4"/>
        </w:numPr>
        <w:spacing w:after="200" w:line="360" w:lineRule="auto"/>
        <w:ind w:hanging="180"/>
        <w:contextualSpacing/>
        <w:jc w:val="both"/>
        <w:rPr>
          <w:rFonts w:eastAsia="Times New Roman" w:cs="Times New Roman"/>
          <w:b/>
          <w:bCs/>
          <w:color w:val="000000"/>
          <w:sz w:val="13"/>
          <w:szCs w:val="13"/>
          <w:u w:val="single"/>
        </w:rPr>
      </w:pPr>
      <w:r w:rsidRPr="00DF1513">
        <w:rPr>
          <w:rFonts w:eastAsia="Times New Roman" w:cs="Times New Roman"/>
          <w:b/>
          <w:color w:val="000000"/>
          <w:sz w:val="13"/>
          <w:szCs w:val="13"/>
        </w:rPr>
        <w:t xml:space="preserve">Gebre </w:t>
      </w:r>
      <w:r w:rsidRPr="008C67A8">
        <w:rPr>
          <w:rFonts w:eastAsia="Times New Roman" w:cs="Times New Roman"/>
          <w:b/>
          <w:color w:val="000000"/>
          <w:sz w:val="13"/>
          <w:szCs w:val="13"/>
        </w:rPr>
        <w:t>TD</w:t>
      </w:r>
      <w:r w:rsidRPr="00DF1513">
        <w:rPr>
          <w:rFonts w:eastAsia="Times New Roman" w:cs="Times New Roman"/>
          <w:color w:val="000000"/>
          <w:sz w:val="13"/>
          <w:szCs w:val="13"/>
        </w:rPr>
        <w:t xml:space="preserve">, Alem </w:t>
      </w:r>
      <w:r w:rsidRPr="008C67A8">
        <w:rPr>
          <w:rFonts w:eastAsia="Times New Roman" w:cs="Times New Roman"/>
          <w:color w:val="000000"/>
          <w:sz w:val="13"/>
          <w:szCs w:val="13"/>
        </w:rPr>
        <w:t>G</w:t>
      </w:r>
      <w:r w:rsidRPr="00DF1513">
        <w:rPr>
          <w:rFonts w:eastAsia="Times New Roman" w:cs="Times New Roman"/>
          <w:color w:val="000000"/>
          <w:sz w:val="13"/>
          <w:szCs w:val="13"/>
        </w:rPr>
        <w:t xml:space="preserve">, Helen </w:t>
      </w:r>
      <w:r w:rsidRPr="008C67A8">
        <w:rPr>
          <w:rFonts w:eastAsia="Times New Roman" w:cs="Times New Roman"/>
          <w:color w:val="000000"/>
          <w:sz w:val="13"/>
          <w:szCs w:val="13"/>
        </w:rPr>
        <w:t>Y</w:t>
      </w:r>
      <w:r w:rsidRPr="00DF1513">
        <w:rPr>
          <w:rFonts w:eastAsia="Times New Roman" w:cs="Times New Roman"/>
          <w:color w:val="000000"/>
          <w:sz w:val="13"/>
          <w:szCs w:val="13"/>
        </w:rPr>
        <w:t xml:space="preserve">, Minyahil </w:t>
      </w:r>
      <w:r w:rsidRPr="008C67A8">
        <w:rPr>
          <w:rFonts w:eastAsia="Times New Roman" w:cs="Times New Roman"/>
          <w:color w:val="000000"/>
          <w:sz w:val="13"/>
          <w:szCs w:val="13"/>
        </w:rPr>
        <w:t>A</w:t>
      </w:r>
      <w:r w:rsidRPr="00DF1513">
        <w:rPr>
          <w:rFonts w:eastAsia="Times New Roman" w:cs="Times New Roman"/>
          <w:color w:val="000000"/>
          <w:sz w:val="13"/>
          <w:szCs w:val="13"/>
        </w:rPr>
        <w:t xml:space="preserve">, Yirga </w:t>
      </w:r>
      <w:r w:rsidRPr="008C67A8">
        <w:rPr>
          <w:rFonts w:eastAsia="Times New Roman" w:cs="Times New Roman"/>
          <w:color w:val="000000"/>
          <w:sz w:val="13"/>
          <w:szCs w:val="13"/>
        </w:rPr>
        <w:t>LN</w:t>
      </w:r>
      <w:r w:rsidRPr="00DF1513">
        <w:rPr>
          <w:rFonts w:eastAsia="Times New Roman" w:cs="Times New Roman"/>
          <w:color w:val="000000"/>
          <w:sz w:val="13"/>
          <w:szCs w:val="13"/>
        </w:rPr>
        <w:t xml:space="preserve">, Gebremicheal </w:t>
      </w:r>
      <w:r w:rsidRPr="008C67A8">
        <w:rPr>
          <w:rFonts w:eastAsia="Times New Roman" w:cs="Times New Roman"/>
          <w:color w:val="000000"/>
          <w:sz w:val="13"/>
          <w:szCs w:val="13"/>
        </w:rPr>
        <w:t>G</w:t>
      </w:r>
      <w:r w:rsidRPr="00DF1513">
        <w:rPr>
          <w:rFonts w:eastAsia="Times New Roman" w:cs="Times New Roman"/>
          <w:color w:val="000000"/>
          <w:sz w:val="13"/>
          <w:szCs w:val="13"/>
        </w:rPr>
        <w:t xml:space="preserve">, Gebremariam </w:t>
      </w:r>
      <w:r w:rsidRPr="008C67A8">
        <w:rPr>
          <w:rFonts w:eastAsia="Times New Roman" w:cs="Times New Roman"/>
          <w:color w:val="000000"/>
          <w:sz w:val="13"/>
          <w:szCs w:val="13"/>
        </w:rPr>
        <w:t>W</w:t>
      </w:r>
      <w:r w:rsidRPr="00DF1513">
        <w:rPr>
          <w:rFonts w:eastAsia="Times New Roman" w:cs="Times New Roman"/>
          <w:color w:val="000000"/>
          <w:sz w:val="13"/>
          <w:szCs w:val="13"/>
        </w:rPr>
        <w:t xml:space="preserve">, Degena </w:t>
      </w:r>
      <w:r w:rsidRPr="008C67A8">
        <w:rPr>
          <w:rFonts w:eastAsia="Times New Roman" w:cs="Times New Roman"/>
          <w:color w:val="000000"/>
          <w:sz w:val="13"/>
          <w:szCs w:val="13"/>
        </w:rPr>
        <w:t>B</w:t>
      </w:r>
      <w:r w:rsidRPr="00DF1513">
        <w:rPr>
          <w:rFonts w:eastAsia="Times New Roman" w:cs="Times New Roman"/>
          <w:color w:val="000000"/>
          <w:sz w:val="13"/>
          <w:szCs w:val="13"/>
        </w:rPr>
        <w:t xml:space="preserve"> and Workineh </w:t>
      </w:r>
      <w:r w:rsidRPr="008C67A8">
        <w:rPr>
          <w:rFonts w:eastAsia="Times New Roman" w:cs="Times New Roman"/>
          <w:color w:val="000000"/>
          <w:sz w:val="13"/>
          <w:szCs w:val="13"/>
        </w:rPr>
        <w:t>S</w:t>
      </w:r>
      <w:r w:rsidRPr="00DF1513">
        <w:rPr>
          <w:rFonts w:eastAsia="Times New Roman" w:cs="Times New Roman"/>
          <w:color w:val="000000"/>
          <w:sz w:val="13"/>
          <w:szCs w:val="13"/>
        </w:rPr>
        <w:t>.</w:t>
      </w:r>
      <w:r w:rsidRPr="00DF1513">
        <w:rPr>
          <w:rFonts w:eastAsia="Times New Roman" w:cs="Times New Roman"/>
          <w:sz w:val="13"/>
          <w:szCs w:val="13"/>
        </w:rPr>
        <w:t xml:space="preserve"> </w:t>
      </w:r>
      <w:r w:rsidRPr="00DF1513">
        <w:rPr>
          <w:rFonts w:eastAsia="Times New Roman" w:cs="Times New Roman"/>
          <w:color w:val="000000"/>
          <w:sz w:val="13"/>
          <w:szCs w:val="13"/>
        </w:rPr>
        <w:t>Predictors of poor glycemic control among patients with type 2 diabetes on follow-up care at a tertiary healthcare setting in Ethiopia. BMC research note.</w:t>
      </w:r>
      <w:r w:rsidRPr="008C67A8">
        <w:rPr>
          <w:rFonts w:eastAsia="Times New Roman" w:cs="Times New Roman"/>
          <w:b/>
          <w:bCs/>
          <w:color w:val="000000"/>
          <w:sz w:val="13"/>
          <w:szCs w:val="13"/>
        </w:rPr>
        <w:t xml:space="preserve"> </w:t>
      </w:r>
      <w:r w:rsidRPr="00DF1513">
        <w:rPr>
          <w:rFonts w:eastAsia="Times New Roman" w:cs="Times New Roman"/>
          <w:i/>
          <w:iCs/>
          <w:color w:val="000000"/>
          <w:sz w:val="13"/>
          <w:szCs w:val="13"/>
        </w:rPr>
        <w:t>(2019) 12:207.</w:t>
      </w:r>
      <w:r w:rsidRPr="008C67A8">
        <w:rPr>
          <w:rFonts w:eastAsia="Times New Roman" w:cs="Times New Roman"/>
          <w:b/>
          <w:bCs/>
          <w:color w:val="000000"/>
          <w:sz w:val="13"/>
          <w:szCs w:val="13"/>
        </w:rPr>
        <w:t xml:space="preserve"> </w:t>
      </w:r>
      <w:r w:rsidRPr="00DF1513">
        <w:rPr>
          <w:rFonts w:eastAsia="Times New Roman" w:cs="Times New Roman"/>
          <w:color w:val="000000"/>
          <w:sz w:val="13"/>
          <w:szCs w:val="13"/>
        </w:rPr>
        <w:t>https://doi.org/10.1186/s13104-019-4248-6</w:t>
      </w:r>
    </w:p>
    <w:p w:rsidR="007A4EBF" w:rsidRPr="008C67A8" w:rsidRDefault="007A4EBF" w:rsidP="007A4EBF">
      <w:pPr>
        <w:widowControl/>
        <w:numPr>
          <w:ilvl w:val="0"/>
          <w:numId w:val="4"/>
        </w:numPr>
        <w:spacing w:after="200" w:line="360" w:lineRule="auto"/>
        <w:ind w:hanging="180"/>
        <w:contextualSpacing/>
        <w:jc w:val="both"/>
        <w:rPr>
          <w:rStyle w:val="fontstyle01"/>
          <w:rFonts w:ascii="Tw Cen MT" w:eastAsia="Times New Roman" w:hAnsi="Tw Cen MT" w:cs="Times New Roman"/>
          <w:b/>
          <w:bCs/>
          <w:sz w:val="13"/>
          <w:szCs w:val="13"/>
          <w:u w:val="single"/>
        </w:rPr>
      </w:pPr>
      <w:r w:rsidRPr="008C67A8">
        <w:rPr>
          <w:rStyle w:val="fontstyle21"/>
          <w:rFonts w:ascii="Tw Cen MT" w:hAnsi="Tw Cen MT"/>
          <w:b w:val="0"/>
          <w:sz w:val="13"/>
          <w:szCs w:val="13"/>
        </w:rPr>
        <w:t>Yirga LN</w:t>
      </w:r>
      <w:r w:rsidRPr="00DF1513">
        <w:rPr>
          <w:rFonts w:eastAsia="Times New Roman" w:cs="Times New Roman"/>
          <w:bCs/>
          <w:color w:val="000000"/>
          <w:sz w:val="13"/>
          <w:szCs w:val="13"/>
        </w:rPr>
        <w:t xml:space="preserve">, Abraham </w:t>
      </w:r>
      <w:r w:rsidRPr="008C67A8">
        <w:rPr>
          <w:rFonts w:eastAsia="Times New Roman" w:cs="Times New Roman"/>
          <w:bCs/>
          <w:color w:val="000000"/>
          <w:sz w:val="13"/>
          <w:szCs w:val="13"/>
        </w:rPr>
        <w:t>M</w:t>
      </w:r>
      <w:r w:rsidRPr="00DF1513">
        <w:rPr>
          <w:rFonts w:eastAsia="Times New Roman" w:cs="Times New Roman"/>
          <w:bCs/>
          <w:color w:val="000000"/>
          <w:sz w:val="13"/>
          <w:szCs w:val="13"/>
        </w:rPr>
        <w:t>,</w:t>
      </w:r>
      <w:r w:rsidRPr="008C67A8">
        <w:rPr>
          <w:rFonts w:eastAsia="Times New Roman" w:cs="Times New Roman"/>
          <w:b/>
          <w:color w:val="000000"/>
          <w:sz w:val="13"/>
          <w:szCs w:val="13"/>
        </w:rPr>
        <w:t xml:space="preserve"> </w:t>
      </w:r>
      <w:r w:rsidRPr="00DF1513">
        <w:rPr>
          <w:rFonts w:eastAsia="Times New Roman" w:cs="Times New Roman"/>
          <w:bCs/>
          <w:color w:val="000000"/>
          <w:sz w:val="13"/>
          <w:szCs w:val="13"/>
        </w:rPr>
        <w:t xml:space="preserve">Kidu </w:t>
      </w:r>
      <w:r w:rsidRPr="008C67A8">
        <w:rPr>
          <w:rFonts w:eastAsia="Times New Roman" w:cs="Times New Roman"/>
          <w:bCs/>
          <w:color w:val="000000"/>
          <w:sz w:val="13"/>
          <w:szCs w:val="13"/>
        </w:rPr>
        <w:t>G</w:t>
      </w:r>
      <w:r w:rsidRPr="008C67A8">
        <w:rPr>
          <w:rFonts w:eastAsia="Times New Roman" w:cs="Times New Roman"/>
          <w:b/>
          <w:color w:val="000000"/>
          <w:sz w:val="13"/>
          <w:szCs w:val="13"/>
        </w:rPr>
        <w:t xml:space="preserve"> </w:t>
      </w:r>
      <w:r w:rsidRPr="008C67A8">
        <w:rPr>
          <w:rFonts w:eastAsia="Times New Roman" w:cs="Times New Roman"/>
          <w:color w:val="000000"/>
          <w:sz w:val="13"/>
          <w:szCs w:val="13"/>
        </w:rPr>
        <w:t>and</w:t>
      </w:r>
      <w:r w:rsidRPr="008C67A8">
        <w:rPr>
          <w:rFonts w:eastAsia="Times New Roman" w:cs="Times New Roman"/>
          <w:b/>
          <w:color w:val="000000"/>
          <w:sz w:val="13"/>
          <w:szCs w:val="13"/>
        </w:rPr>
        <w:t xml:space="preserve"> </w:t>
      </w:r>
      <w:r w:rsidRPr="00DF1513">
        <w:rPr>
          <w:rFonts w:eastAsia="Times New Roman" w:cs="Times New Roman"/>
          <w:b/>
          <w:color w:val="000000"/>
          <w:sz w:val="13"/>
          <w:szCs w:val="13"/>
        </w:rPr>
        <w:t xml:space="preserve">Gebre </w:t>
      </w:r>
      <w:r w:rsidRPr="008C67A8">
        <w:rPr>
          <w:rFonts w:eastAsia="Times New Roman" w:cs="Times New Roman"/>
          <w:b/>
          <w:color w:val="000000"/>
          <w:sz w:val="13"/>
          <w:szCs w:val="13"/>
        </w:rPr>
        <w:t>TD</w:t>
      </w:r>
      <w:r w:rsidRPr="00DF1513">
        <w:rPr>
          <w:rFonts w:eastAsia="Times New Roman" w:cs="Times New Roman"/>
          <w:bCs/>
          <w:color w:val="000000"/>
          <w:sz w:val="13"/>
          <w:szCs w:val="13"/>
        </w:rPr>
        <w:t xml:space="preserve"> </w:t>
      </w:r>
      <w:r w:rsidRPr="008C67A8">
        <w:rPr>
          <w:color w:val="1E1E1B"/>
          <w:sz w:val="13"/>
          <w:szCs w:val="13"/>
        </w:rPr>
        <w:t>Medication Belief and Adherence among Patients with Epilepsy. Behavioural Neurology Volume 2019, https://doi.org/10.1155/2019/2806341</w:t>
      </w:r>
    </w:p>
    <w:p w:rsidR="00A77057" w:rsidRPr="008C67A8" w:rsidRDefault="007A4EBF" w:rsidP="00A77057">
      <w:pPr>
        <w:widowControl/>
        <w:numPr>
          <w:ilvl w:val="0"/>
          <w:numId w:val="4"/>
        </w:numPr>
        <w:spacing w:after="200" w:line="360" w:lineRule="auto"/>
        <w:ind w:hanging="180"/>
        <w:contextualSpacing/>
        <w:jc w:val="both"/>
        <w:rPr>
          <w:rFonts w:eastAsia="Times New Roman" w:cs="Times New Roman"/>
          <w:b/>
          <w:bCs/>
          <w:color w:val="000000"/>
          <w:sz w:val="13"/>
          <w:szCs w:val="13"/>
          <w:u w:val="single"/>
        </w:rPr>
      </w:pPr>
      <w:r w:rsidRPr="00DF1513">
        <w:rPr>
          <w:rFonts w:eastAsia="Times New Roman" w:cs="Times New Roman"/>
          <w:b/>
          <w:bCs/>
          <w:color w:val="000000"/>
          <w:sz w:val="13"/>
          <w:szCs w:val="13"/>
        </w:rPr>
        <w:t xml:space="preserve">Gebre </w:t>
      </w:r>
      <w:r w:rsidRPr="008C67A8">
        <w:rPr>
          <w:rFonts w:eastAsia="Times New Roman" w:cs="Times New Roman"/>
          <w:b/>
          <w:bCs/>
          <w:color w:val="000000"/>
          <w:sz w:val="13"/>
          <w:szCs w:val="13"/>
        </w:rPr>
        <w:t>TD</w:t>
      </w:r>
      <w:r w:rsidR="00A77057">
        <w:rPr>
          <w:color w:val="000000"/>
          <w:sz w:val="13"/>
          <w:szCs w:val="13"/>
        </w:rPr>
        <w:t xml:space="preserve">, Shishay W, Gebremicheal G. Kalay H, Daniel WK, Hagos T, Degena b and Yirga LN. </w:t>
      </w:r>
      <w:r w:rsidR="00A77057" w:rsidRPr="008C67A8">
        <w:rPr>
          <w:color w:val="000000"/>
          <w:sz w:val="13"/>
          <w:szCs w:val="13"/>
        </w:rPr>
        <w:t xml:space="preserve">Prescribing pattern of statins for primary prevention of cardiovascular diseases in patients with type 2 diabetes: insights from Ethiopia. </w:t>
      </w:r>
      <w:r w:rsidR="00A77057" w:rsidRPr="00DF1513">
        <w:rPr>
          <w:rFonts w:eastAsia="Times New Roman" w:cs="Times New Roman"/>
          <w:color w:val="000000"/>
          <w:sz w:val="13"/>
          <w:szCs w:val="13"/>
        </w:rPr>
        <w:t>BMC research note.</w:t>
      </w:r>
      <w:r w:rsidR="00A77057" w:rsidRPr="008C67A8">
        <w:rPr>
          <w:rFonts w:eastAsia="Times New Roman" w:cs="Times New Roman"/>
          <w:b/>
          <w:bCs/>
          <w:color w:val="000000"/>
          <w:sz w:val="13"/>
          <w:szCs w:val="13"/>
        </w:rPr>
        <w:t xml:space="preserve"> </w:t>
      </w:r>
      <w:r w:rsidR="00A77057" w:rsidRPr="00DF1513">
        <w:rPr>
          <w:rFonts w:eastAsia="Times New Roman" w:cs="Times New Roman"/>
          <w:i/>
          <w:iCs/>
          <w:color w:val="000000"/>
          <w:sz w:val="13"/>
          <w:szCs w:val="13"/>
        </w:rPr>
        <w:t xml:space="preserve">(2019) </w:t>
      </w:r>
      <w:r w:rsidR="00A77057" w:rsidRPr="008C67A8">
        <w:rPr>
          <w:i/>
          <w:iCs/>
          <w:color w:val="000000"/>
          <w:sz w:val="13"/>
          <w:szCs w:val="13"/>
        </w:rPr>
        <w:t>12:386</w:t>
      </w:r>
      <w:r w:rsidR="00A77057">
        <w:rPr>
          <w:i/>
          <w:iCs/>
          <w:color w:val="000000"/>
          <w:sz w:val="13"/>
          <w:szCs w:val="13"/>
        </w:rPr>
        <w:t xml:space="preserve"> </w:t>
      </w:r>
      <w:r w:rsidR="00A77057" w:rsidRPr="008C67A8">
        <w:rPr>
          <w:color w:val="000000"/>
          <w:sz w:val="13"/>
          <w:szCs w:val="13"/>
        </w:rPr>
        <w:t>https://doi.org/10.1186/s13104-019-4423-9</w:t>
      </w:r>
    </w:p>
    <w:p w:rsidR="00A77057" w:rsidRPr="008C67A8" w:rsidRDefault="00A77057" w:rsidP="00A77057">
      <w:pPr>
        <w:widowControl/>
        <w:numPr>
          <w:ilvl w:val="0"/>
          <w:numId w:val="4"/>
        </w:numPr>
        <w:spacing w:after="200" w:line="360" w:lineRule="auto"/>
        <w:ind w:hanging="180"/>
        <w:contextualSpacing/>
        <w:jc w:val="both"/>
        <w:rPr>
          <w:rFonts w:eastAsia="Times New Roman" w:cs="Times New Roman"/>
          <w:bCs/>
          <w:color w:val="000000"/>
          <w:sz w:val="13"/>
          <w:szCs w:val="13"/>
          <w:u w:val="single"/>
        </w:rPr>
      </w:pPr>
      <w:r w:rsidRPr="008C67A8">
        <w:rPr>
          <w:rStyle w:val="fontstyle21"/>
          <w:rFonts w:ascii="Tw Cen MT" w:hAnsi="Tw Cen MT"/>
          <w:b w:val="0"/>
          <w:sz w:val="13"/>
          <w:szCs w:val="13"/>
        </w:rPr>
        <w:t>Yirga LN</w:t>
      </w:r>
      <w:r w:rsidRPr="00DF1513">
        <w:rPr>
          <w:rFonts w:eastAsia="Times New Roman" w:cs="Times New Roman"/>
          <w:bCs/>
          <w:color w:val="000000"/>
          <w:sz w:val="13"/>
          <w:szCs w:val="13"/>
        </w:rPr>
        <w:t xml:space="preserve">, Abraham </w:t>
      </w:r>
      <w:r w:rsidRPr="008C67A8">
        <w:rPr>
          <w:rFonts w:eastAsia="Times New Roman" w:cs="Times New Roman"/>
          <w:bCs/>
          <w:color w:val="000000"/>
          <w:sz w:val="13"/>
          <w:szCs w:val="13"/>
        </w:rPr>
        <w:t>M</w:t>
      </w:r>
      <w:r w:rsidRPr="00DF1513">
        <w:rPr>
          <w:rFonts w:eastAsia="Times New Roman" w:cs="Times New Roman"/>
          <w:bCs/>
          <w:color w:val="000000"/>
          <w:sz w:val="13"/>
          <w:szCs w:val="13"/>
        </w:rPr>
        <w:t xml:space="preserve">, Tesfaye </w:t>
      </w:r>
      <w:r w:rsidRPr="008C67A8">
        <w:rPr>
          <w:rFonts w:eastAsia="Times New Roman" w:cs="Times New Roman"/>
          <w:bCs/>
          <w:color w:val="000000"/>
          <w:sz w:val="13"/>
          <w:szCs w:val="13"/>
        </w:rPr>
        <w:t>DK</w:t>
      </w:r>
      <w:r w:rsidRPr="00DF1513">
        <w:rPr>
          <w:rFonts w:eastAsia="Times New Roman" w:cs="Times New Roman"/>
          <w:bCs/>
          <w:color w:val="000000"/>
          <w:sz w:val="13"/>
          <w:szCs w:val="13"/>
        </w:rPr>
        <w:t xml:space="preserve">, Solomon </w:t>
      </w:r>
      <w:r w:rsidRPr="008C67A8">
        <w:rPr>
          <w:rFonts w:eastAsia="Times New Roman" w:cs="Times New Roman"/>
          <w:bCs/>
          <w:color w:val="000000"/>
          <w:sz w:val="13"/>
          <w:szCs w:val="13"/>
        </w:rPr>
        <w:t>WA</w:t>
      </w:r>
      <w:r w:rsidRPr="00DF1513">
        <w:rPr>
          <w:rFonts w:eastAsia="Times New Roman" w:cs="Times New Roman"/>
          <w:bCs/>
          <w:color w:val="000000"/>
          <w:sz w:val="13"/>
          <w:szCs w:val="13"/>
        </w:rPr>
        <w:t xml:space="preserve">, Tesfay </w:t>
      </w:r>
      <w:r w:rsidRPr="008C67A8">
        <w:rPr>
          <w:rFonts w:eastAsia="Times New Roman" w:cs="Times New Roman"/>
          <w:bCs/>
          <w:color w:val="000000"/>
          <w:sz w:val="13"/>
          <w:szCs w:val="13"/>
        </w:rPr>
        <w:t>MA</w:t>
      </w:r>
      <w:r w:rsidRPr="00DF1513">
        <w:rPr>
          <w:rFonts w:eastAsia="Times New Roman" w:cs="Times New Roman"/>
          <w:bCs/>
          <w:color w:val="000000"/>
          <w:sz w:val="13"/>
          <w:szCs w:val="13"/>
        </w:rPr>
        <w:t xml:space="preserve">, Kidu </w:t>
      </w:r>
      <w:r w:rsidRPr="008C67A8">
        <w:rPr>
          <w:rFonts w:eastAsia="Times New Roman" w:cs="Times New Roman"/>
          <w:bCs/>
          <w:color w:val="000000"/>
          <w:sz w:val="13"/>
          <w:szCs w:val="13"/>
        </w:rPr>
        <w:t>G</w:t>
      </w:r>
      <w:r w:rsidRPr="00DF1513">
        <w:rPr>
          <w:rFonts w:eastAsia="Times New Roman" w:cs="Times New Roman"/>
          <w:bCs/>
          <w:color w:val="000000"/>
          <w:sz w:val="13"/>
          <w:szCs w:val="13"/>
        </w:rPr>
        <w:t xml:space="preserve">, </w:t>
      </w:r>
      <w:r w:rsidRPr="00DF1513">
        <w:rPr>
          <w:rFonts w:eastAsia="Times New Roman" w:cs="Times New Roman"/>
          <w:b/>
          <w:bCs/>
          <w:color w:val="000000"/>
          <w:sz w:val="13"/>
          <w:szCs w:val="13"/>
        </w:rPr>
        <w:t xml:space="preserve">Gebre </w:t>
      </w:r>
      <w:r w:rsidRPr="008C67A8">
        <w:rPr>
          <w:rFonts w:eastAsia="Times New Roman" w:cs="Times New Roman"/>
          <w:b/>
          <w:bCs/>
          <w:color w:val="000000"/>
          <w:sz w:val="13"/>
          <w:szCs w:val="13"/>
        </w:rPr>
        <w:t>TD</w:t>
      </w:r>
      <w:r w:rsidRPr="00DF1513">
        <w:rPr>
          <w:rFonts w:eastAsia="Times New Roman" w:cs="Times New Roman"/>
          <w:bCs/>
          <w:color w:val="000000"/>
          <w:sz w:val="13"/>
          <w:szCs w:val="13"/>
        </w:rPr>
        <w:t xml:space="preserve"> &amp; Seid </w:t>
      </w:r>
      <w:r w:rsidRPr="008C67A8">
        <w:rPr>
          <w:rFonts w:eastAsia="Times New Roman" w:cs="Times New Roman"/>
          <w:bCs/>
          <w:color w:val="000000"/>
          <w:sz w:val="13"/>
          <w:szCs w:val="13"/>
        </w:rPr>
        <w:t>I</w:t>
      </w:r>
      <w:r w:rsidRPr="00DF1513">
        <w:rPr>
          <w:rFonts w:eastAsia="Times New Roman" w:cs="Times New Roman"/>
          <w:sz w:val="13"/>
          <w:szCs w:val="13"/>
        </w:rPr>
        <w:t xml:space="preserve">. </w:t>
      </w:r>
      <w:r w:rsidRPr="00DF1513">
        <w:rPr>
          <w:rFonts w:eastAsia="Times New Roman" w:cs="Times New Roman"/>
          <w:bCs/>
          <w:color w:val="000000"/>
          <w:sz w:val="13"/>
          <w:szCs w:val="13"/>
        </w:rPr>
        <w:t xml:space="preserve">Treatment outcome and associated factors among patients with epilepsy. </w:t>
      </w:r>
      <w:r w:rsidRPr="00DF1513">
        <w:rPr>
          <w:rFonts w:eastAsia="Times New Roman" w:cs="Times New Roman"/>
          <w:bCs/>
          <w:i/>
          <w:color w:val="000000"/>
          <w:sz w:val="13"/>
          <w:szCs w:val="13"/>
        </w:rPr>
        <w:t xml:space="preserve">Scientific report </w:t>
      </w:r>
      <w:r w:rsidRPr="00DF1513">
        <w:rPr>
          <w:rFonts w:eastAsia="Times New Roman" w:cs="Times New Roman"/>
          <w:bCs/>
          <w:color w:val="000000"/>
          <w:sz w:val="13"/>
          <w:szCs w:val="13"/>
        </w:rPr>
        <w:t xml:space="preserve">2018; </w:t>
      </w:r>
      <w:r w:rsidRPr="00DF1513">
        <w:rPr>
          <w:rFonts w:eastAsia="Times New Roman" w:cs="Times New Roman"/>
          <w:b/>
          <w:iCs/>
          <w:color w:val="000000"/>
          <w:sz w:val="13"/>
          <w:szCs w:val="13"/>
        </w:rPr>
        <w:t>8</w:t>
      </w:r>
      <w:r w:rsidRPr="00DF1513">
        <w:rPr>
          <w:rFonts w:eastAsia="Times New Roman" w:cs="Times New Roman"/>
          <w:iCs/>
          <w:color w:val="000000"/>
          <w:sz w:val="13"/>
          <w:szCs w:val="13"/>
        </w:rPr>
        <w:t xml:space="preserve">(1):17354 </w:t>
      </w:r>
      <w:r w:rsidRPr="00DF1513">
        <w:rPr>
          <w:rFonts w:eastAsia="Times New Roman" w:cs="Times New Roman"/>
          <w:color w:val="000000"/>
          <w:sz w:val="13"/>
          <w:szCs w:val="13"/>
        </w:rPr>
        <w:t>| DOI:10.1038/s41598-018-35906-2</w:t>
      </w:r>
    </w:p>
    <w:p w:rsidR="00DF1513" w:rsidRPr="00DF1513" w:rsidRDefault="00DF1513" w:rsidP="0003729D">
      <w:pPr>
        <w:widowControl/>
        <w:numPr>
          <w:ilvl w:val="0"/>
          <w:numId w:val="4"/>
        </w:numPr>
        <w:spacing w:after="200" w:line="360" w:lineRule="auto"/>
        <w:ind w:hanging="180"/>
        <w:contextualSpacing/>
        <w:jc w:val="both"/>
        <w:rPr>
          <w:rFonts w:eastAsia="Times New Roman" w:cs="Times New Roman"/>
          <w:b/>
          <w:bCs/>
          <w:color w:val="000000"/>
          <w:sz w:val="13"/>
          <w:szCs w:val="13"/>
          <w:u w:val="single"/>
        </w:rPr>
      </w:pPr>
      <w:r w:rsidRPr="00DF1513">
        <w:rPr>
          <w:rFonts w:eastAsia="Times New Roman" w:cs="Times New Roman"/>
          <w:color w:val="1E1E1B"/>
          <w:sz w:val="13"/>
          <w:szCs w:val="13"/>
        </w:rPr>
        <w:t xml:space="preserve">Halefom </w:t>
      </w:r>
      <w:r w:rsidR="00454FCA" w:rsidRPr="008C67A8">
        <w:rPr>
          <w:rFonts w:eastAsia="Times New Roman" w:cs="Times New Roman"/>
          <w:color w:val="1E1E1B"/>
          <w:sz w:val="13"/>
          <w:szCs w:val="13"/>
        </w:rPr>
        <w:t>K</w:t>
      </w:r>
      <w:r w:rsidRPr="00DF1513">
        <w:rPr>
          <w:rFonts w:eastAsia="Times New Roman" w:cs="Times New Roman"/>
          <w:b/>
          <w:bCs/>
          <w:color w:val="1E1E1B"/>
          <w:sz w:val="13"/>
          <w:szCs w:val="13"/>
        </w:rPr>
        <w:t xml:space="preserve"> </w:t>
      </w:r>
      <w:r w:rsidRPr="00DF1513">
        <w:rPr>
          <w:rFonts w:eastAsia="Times New Roman" w:cs="Times New Roman"/>
          <w:color w:val="1E1E1B"/>
          <w:sz w:val="13"/>
          <w:szCs w:val="13"/>
        </w:rPr>
        <w:t xml:space="preserve">Bereket </w:t>
      </w:r>
      <w:r w:rsidR="00454FCA" w:rsidRPr="008C67A8">
        <w:rPr>
          <w:rFonts w:eastAsia="Times New Roman" w:cs="Times New Roman"/>
          <w:color w:val="1E1E1B"/>
          <w:sz w:val="13"/>
          <w:szCs w:val="13"/>
        </w:rPr>
        <w:t>F</w:t>
      </w:r>
      <w:r w:rsidRPr="00DF1513">
        <w:rPr>
          <w:rFonts w:eastAsia="Times New Roman" w:cs="Times New Roman"/>
          <w:color w:val="1E1E1B"/>
          <w:sz w:val="13"/>
          <w:szCs w:val="13"/>
        </w:rPr>
        <w:t>,</w:t>
      </w:r>
      <w:r w:rsidRPr="00DF1513">
        <w:rPr>
          <w:rFonts w:eastAsia="Times New Roman" w:cs="Times New Roman"/>
          <w:b/>
          <w:bCs/>
          <w:color w:val="1E1E1B"/>
          <w:sz w:val="13"/>
          <w:szCs w:val="13"/>
        </w:rPr>
        <w:t xml:space="preserve"> </w:t>
      </w:r>
      <w:r w:rsidRPr="00DF1513">
        <w:rPr>
          <w:rFonts w:eastAsia="Times New Roman" w:cs="Times New Roman"/>
          <w:color w:val="1E1E1B"/>
          <w:sz w:val="13"/>
          <w:szCs w:val="13"/>
        </w:rPr>
        <w:t xml:space="preserve">Teshome </w:t>
      </w:r>
      <w:r w:rsidR="00454FCA" w:rsidRPr="008C67A8">
        <w:rPr>
          <w:rFonts w:eastAsia="Times New Roman" w:cs="Times New Roman"/>
          <w:color w:val="1E1E1B"/>
          <w:sz w:val="13"/>
          <w:szCs w:val="13"/>
        </w:rPr>
        <w:t>N</w:t>
      </w:r>
      <w:r w:rsidRPr="00DF1513">
        <w:rPr>
          <w:rFonts w:eastAsia="Times New Roman" w:cs="Times New Roman"/>
          <w:color w:val="1E1E1B"/>
          <w:sz w:val="13"/>
          <w:szCs w:val="13"/>
        </w:rPr>
        <w:t xml:space="preserve"> and </w:t>
      </w:r>
      <w:r w:rsidRPr="00DF1513">
        <w:rPr>
          <w:rFonts w:eastAsia="Times New Roman" w:cs="Times New Roman"/>
          <w:b/>
          <w:color w:val="1E1E1B"/>
          <w:sz w:val="13"/>
          <w:szCs w:val="13"/>
        </w:rPr>
        <w:t xml:space="preserve">Gebre </w:t>
      </w:r>
      <w:r w:rsidR="00454FCA" w:rsidRPr="008C67A8">
        <w:rPr>
          <w:rFonts w:eastAsia="Times New Roman" w:cs="Times New Roman"/>
          <w:b/>
          <w:color w:val="1E1E1B"/>
          <w:sz w:val="13"/>
          <w:szCs w:val="13"/>
        </w:rPr>
        <w:t>TD</w:t>
      </w:r>
      <w:r w:rsidRPr="00DF1513">
        <w:rPr>
          <w:rFonts w:eastAsia="Times New Roman" w:cs="Times New Roman"/>
          <w:color w:val="1E1E1B"/>
          <w:sz w:val="13"/>
          <w:szCs w:val="13"/>
        </w:rPr>
        <w:t>. Evaluation of Hypoglycemia and Associated Factors among Patients with Type 1 Diabetes on Follow-Up Care at St. Paul’s Hospital Millennium Medical College, Addis Ababa, Ethiopia. Journal of Diabetes Research</w:t>
      </w:r>
      <w:r w:rsidRPr="00DF1513">
        <w:rPr>
          <w:rFonts w:eastAsia="Times New Roman" w:cs="Times New Roman"/>
          <w:sz w:val="13"/>
          <w:szCs w:val="13"/>
        </w:rPr>
        <w:t>. 2019(</w:t>
      </w:r>
      <w:r w:rsidRPr="00DF1513">
        <w:rPr>
          <w:rFonts w:eastAsia="Times New Roman" w:cs="Times New Roman"/>
          <w:color w:val="1E1E1B"/>
          <w:sz w:val="13"/>
          <w:szCs w:val="13"/>
        </w:rPr>
        <w:t>Volume 2019). https://doi.org/10.1155/2019/9037374</w:t>
      </w:r>
    </w:p>
    <w:p w:rsidR="00DF1513" w:rsidRPr="00DF1513" w:rsidRDefault="007A4EBF" w:rsidP="0003729D">
      <w:pPr>
        <w:widowControl/>
        <w:numPr>
          <w:ilvl w:val="0"/>
          <w:numId w:val="4"/>
        </w:numPr>
        <w:spacing w:after="200" w:line="360" w:lineRule="auto"/>
        <w:ind w:hanging="180"/>
        <w:contextualSpacing/>
        <w:jc w:val="both"/>
        <w:rPr>
          <w:rFonts w:eastAsia="Times New Roman" w:cs="Times New Roman"/>
          <w:b/>
          <w:bCs/>
          <w:color w:val="000000"/>
          <w:sz w:val="13"/>
          <w:szCs w:val="13"/>
          <w:u w:val="single"/>
        </w:rPr>
      </w:pPr>
      <w:r w:rsidRPr="00DF1513">
        <w:rPr>
          <w:rFonts w:eastAsia="Times New Roman" w:cs="Times New Roman"/>
          <w:b/>
          <w:bCs/>
          <w:color w:val="000000"/>
          <w:sz w:val="13"/>
          <w:szCs w:val="13"/>
        </w:rPr>
        <w:t xml:space="preserve">Gebre </w:t>
      </w:r>
      <w:r w:rsidRPr="008C67A8">
        <w:rPr>
          <w:rFonts w:eastAsia="Times New Roman" w:cs="Times New Roman"/>
          <w:b/>
          <w:bCs/>
          <w:color w:val="000000"/>
          <w:sz w:val="13"/>
          <w:szCs w:val="13"/>
        </w:rPr>
        <w:t>TD</w:t>
      </w:r>
      <w:r w:rsidR="00DF1513" w:rsidRPr="00DF1513">
        <w:rPr>
          <w:rFonts w:eastAsia="Calibri" w:cs="Times New Roman"/>
          <w:color w:val="000000"/>
          <w:sz w:val="13"/>
          <w:szCs w:val="13"/>
        </w:rPr>
        <w:t>, Alebachew M, Legesse Y, Ayalneh B. Treatment of ventriculoperitoneal shunt infection and ventriculitis caused by Acinetobacter baumannii: a case report. BMC: Journal of medical case reports. 2018; 12 (1):141.</w:t>
      </w:r>
    </w:p>
    <w:p w:rsidR="00DF1513" w:rsidRPr="00DF1513" w:rsidRDefault="007A4EBF" w:rsidP="003946DA">
      <w:pPr>
        <w:widowControl/>
        <w:numPr>
          <w:ilvl w:val="0"/>
          <w:numId w:val="4"/>
        </w:numPr>
        <w:spacing w:after="200" w:line="360" w:lineRule="auto"/>
        <w:ind w:hanging="180"/>
        <w:contextualSpacing/>
        <w:jc w:val="both"/>
        <w:rPr>
          <w:rFonts w:eastAsia="Times New Roman" w:cs="Times New Roman"/>
          <w:b/>
          <w:bCs/>
          <w:color w:val="000000"/>
          <w:sz w:val="13"/>
          <w:szCs w:val="13"/>
          <w:u w:val="single"/>
        </w:rPr>
      </w:pPr>
      <w:r w:rsidRPr="00DF1513">
        <w:rPr>
          <w:rFonts w:eastAsia="Times New Roman" w:cs="Times New Roman"/>
          <w:b/>
          <w:bCs/>
          <w:color w:val="000000"/>
          <w:sz w:val="13"/>
          <w:szCs w:val="13"/>
        </w:rPr>
        <w:t xml:space="preserve">Gebre </w:t>
      </w:r>
      <w:r w:rsidRPr="008C67A8">
        <w:rPr>
          <w:rFonts w:eastAsia="Times New Roman" w:cs="Times New Roman"/>
          <w:b/>
          <w:bCs/>
          <w:color w:val="000000"/>
          <w:sz w:val="13"/>
          <w:szCs w:val="13"/>
        </w:rPr>
        <w:t>TD</w:t>
      </w:r>
      <w:r w:rsidR="00DF1513" w:rsidRPr="00DF1513">
        <w:rPr>
          <w:rFonts w:eastAsia="Calibri" w:cs="Times New Roman"/>
          <w:color w:val="000000"/>
          <w:sz w:val="13"/>
          <w:szCs w:val="13"/>
        </w:rPr>
        <w:t xml:space="preserve">, Gebremariam G, Legesse Y. The Current Scenario of Clinical Pharmacy Service in the Management of Patients with Diabetes Mellitus and Related Complications: Review Article. Indian Journal of Pharmacy Practice, 2017; </w:t>
      </w:r>
      <w:r w:rsidR="00DF1513" w:rsidRPr="00DF1513">
        <w:rPr>
          <w:rFonts w:eastAsia="Calibri" w:cs="Times New Roman"/>
          <w:b/>
          <w:color w:val="000000"/>
          <w:sz w:val="13"/>
          <w:szCs w:val="13"/>
        </w:rPr>
        <w:t>10</w:t>
      </w:r>
      <w:r w:rsidR="00DF1513" w:rsidRPr="00DF1513">
        <w:rPr>
          <w:rFonts w:eastAsia="Calibri" w:cs="Times New Roman"/>
          <w:color w:val="000000"/>
          <w:sz w:val="13"/>
          <w:szCs w:val="13"/>
        </w:rPr>
        <w:t xml:space="preserve"> (4).</w:t>
      </w:r>
    </w:p>
    <w:p w:rsidR="00DF1513" w:rsidRPr="00DF1513" w:rsidRDefault="00DF1513" w:rsidP="00DF1513">
      <w:pPr>
        <w:widowControl/>
        <w:spacing w:after="200" w:line="360" w:lineRule="auto"/>
        <w:ind w:left="360"/>
        <w:contextualSpacing/>
        <w:jc w:val="both"/>
        <w:rPr>
          <w:rFonts w:ascii="Times New Roman" w:eastAsia="Times New Roman" w:hAnsi="Times New Roman" w:cs="Times New Roman"/>
          <w:b/>
          <w:bCs/>
          <w:color w:val="000000"/>
          <w:sz w:val="12"/>
          <w:szCs w:val="12"/>
          <w:u w:val="single"/>
        </w:rPr>
      </w:pPr>
    </w:p>
    <w:p w:rsidR="00AE3E37" w:rsidRPr="009F33BE" w:rsidRDefault="00AE3E37" w:rsidP="008756E6">
      <w:pPr>
        <w:tabs>
          <w:tab w:val="left" w:pos="384"/>
        </w:tabs>
        <w:ind w:right="117"/>
        <w:rPr>
          <w:sz w:val="12"/>
          <w:szCs w:val="12"/>
        </w:rPr>
      </w:pPr>
    </w:p>
    <w:p w:rsidR="005E523A" w:rsidRPr="009F33BE" w:rsidRDefault="008756E6">
      <w:pPr>
        <w:spacing w:line="200" w:lineRule="exact"/>
        <w:jc w:val="both"/>
        <w:rPr>
          <w:rFonts w:ascii="Calibri" w:hAnsi="Calibri"/>
          <w:sz w:val="12"/>
          <w:szCs w:val="12"/>
        </w:rPr>
      </w:pPr>
      <w:r w:rsidRPr="009F33BE">
        <w:rPr>
          <w:rFonts w:ascii="Calibri" w:hAnsi="Calibri"/>
          <w:sz w:val="12"/>
          <w:szCs w:val="12"/>
        </w:rPr>
        <w:t xml:space="preserve">   </w:t>
      </w:r>
    </w:p>
    <w:p w:rsidR="005E523A" w:rsidRDefault="005E523A">
      <w:pPr>
        <w:spacing w:line="200" w:lineRule="exact"/>
        <w:jc w:val="both"/>
        <w:rPr>
          <w:rFonts w:ascii="Calibri" w:hAnsi="Calibri"/>
        </w:rPr>
        <w:sectPr w:rsidR="005E523A" w:rsidSect="006B4634">
          <w:type w:val="continuous"/>
          <w:pgSz w:w="11910" w:h="16840"/>
          <w:pgMar w:top="1180" w:right="600" w:bottom="840" w:left="620" w:header="720" w:footer="720" w:gutter="0"/>
          <w:cols w:num="2" w:space="720" w:equalWidth="0">
            <w:col w:w="5214" w:space="138"/>
            <w:col w:w="5338"/>
          </w:cols>
        </w:sectPr>
      </w:pPr>
    </w:p>
    <w:p w:rsidR="00AE3E37" w:rsidRDefault="009F33BE" w:rsidP="009F33BE">
      <w:pPr>
        <w:pStyle w:val="BodyText"/>
        <w:rPr>
          <w:rFonts w:ascii="Calibri"/>
          <w:sz w:val="4"/>
        </w:rPr>
      </w:pPr>
      <w:r>
        <w:rPr>
          <w:rFonts w:ascii="Calibri"/>
          <w:sz w:val="20"/>
        </w:rPr>
        <w:lastRenderedPageBreak/>
        <w:t xml:space="preserve">   </w:t>
      </w:r>
      <w:r w:rsidR="00F72154">
        <w:rPr>
          <w:rFonts w:ascii="Calibri"/>
          <w:sz w:val="20"/>
        </w:rPr>
        <w:t xml:space="preserve">                                                      </w:t>
      </w:r>
      <w:r w:rsidR="00292ED9">
        <w:rPr>
          <w:rFonts w:ascii="Calibri"/>
          <w:noProof/>
          <w:sz w:val="4"/>
          <w:lang w:val="en-ZW" w:eastAsia="en-ZW"/>
        </w:rPr>
        <mc:AlternateContent>
          <mc:Choice Requires="wpg">
            <w:drawing>
              <wp:inline distT="0" distB="0" distL="0" distR="0" wp14:anchorId="26228F2F" wp14:editId="16DBC136">
                <wp:extent cx="3481758" cy="0"/>
                <wp:effectExtent l="0" t="0" r="23495" b="1905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81758" cy="0"/>
                          <a:chOff x="1306" y="20"/>
                          <a:chExt cx="4934" cy="0"/>
                        </a:xfrm>
                      </wpg:grpSpPr>
                      <wps:wsp>
                        <wps:cNvPr id="15" name="Line 5"/>
                        <wps:cNvCnPr/>
                        <wps:spPr bwMode="auto">
                          <a:xfrm>
                            <a:off x="1306" y="20"/>
                            <a:ext cx="4934"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274.15pt;height:0;mso-position-horizontal-relative:char;mso-position-vertical-relative:line" coordorigin="1306,20" coordsize="49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">
                <v:line id="Line 5" o:spid="_x0000_s1027" style="position:absolute;visibility:visible;mso-wrap-style:square" from="1306,20" to="6240,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D7778E" w:rsidP="00404E5B">
      <w:pPr>
        <w:spacing w:before="92"/>
        <w:ind w:right="4234"/>
        <w:rPr>
          <w:rFonts w:ascii="Arial"/>
        </w:rPr>
      </w:pPr>
      <w:r>
        <w:rPr>
          <w:noProof/>
        </w:rPr>
        <w:t xml:space="preserve">      </w:t>
      </w:r>
      <w:r w:rsidR="008756E6">
        <w:rPr>
          <w:noProof/>
        </w:rPr>
        <w:t xml:space="preserve">   </w:t>
      </w:r>
      <w:r w:rsidR="008756E6">
        <w:rPr>
          <w:noProof/>
          <w:lang w:val="en-ZW" w:eastAsia="en-ZW"/>
        </w:rPr>
        <w:drawing>
          <wp:inline distT="0" distB="0" distL="0" distR="0" wp14:anchorId="6C3208D7" wp14:editId="568A173E">
            <wp:extent cx="669215" cy="78465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674592" cy="790961"/>
                    </a:xfrm>
                    <a:prstGeom prst="rect">
                      <a:avLst/>
                    </a:prstGeom>
                    <a:noFill/>
                    <a:ln>
                      <a:noFill/>
                    </a:ln>
                  </pic:spPr>
                </pic:pic>
              </a:graphicData>
            </a:graphic>
          </wp:inline>
        </w:drawing>
      </w:r>
      <w:r>
        <w:rPr>
          <w:noProof/>
        </w:rPr>
        <w:t xml:space="preserve">  </w:t>
      </w:r>
      <w:r w:rsidR="00A9710C">
        <w:rPr>
          <w:rFonts w:ascii="Arial"/>
          <w:color w:val="BF5A14"/>
        </w:rPr>
        <w:t>Biography</w:t>
      </w:r>
      <w:r w:rsidR="00404E5B">
        <w:rPr>
          <w:rFonts w:ascii="Arial"/>
          <w:color w:val="BF5A14"/>
        </w:rPr>
        <w:t xml:space="preserve"> </w:t>
      </w:r>
    </w:p>
    <w:p w:rsidR="00AE3E37" w:rsidRPr="001B6712" w:rsidRDefault="00E9551C" w:rsidP="00C2255B">
      <w:pPr>
        <w:spacing w:before="41" w:line="360" w:lineRule="auto"/>
        <w:ind w:left="213" w:right="231"/>
        <w:jc w:val="both"/>
        <w:rPr>
          <w:sz w:val="18"/>
          <w:szCs w:val="16"/>
        </w:rPr>
      </w:pPr>
      <w:r w:rsidRPr="001B6712">
        <w:rPr>
          <w:rFonts w:cstheme="minorHAnsi"/>
          <w:color w:val="000000" w:themeColor="text1"/>
          <w:sz w:val="18"/>
          <w:szCs w:val="16"/>
        </w:rPr>
        <w:t>Gebre is working at Aksum University, School of pharmacy, Department of clinical pharmacy, College of Health Sciences and Comprehensive Specialized Hospital as an academician, clinician, research coordinator and researcher of clinical research. He had worked for the past five years as an academician and clinical preceptor.</w:t>
      </w:r>
      <w:r w:rsidRPr="001B6712">
        <w:rPr>
          <w:sz w:val="18"/>
          <w:szCs w:val="16"/>
        </w:rPr>
        <w:t xml:space="preserve"> </w:t>
      </w:r>
      <w:r w:rsidRPr="001B6712">
        <w:rPr>
          <w:rFonts w:cs="Calibri"/>
          <w:color w:val="000000" w:themeColor="text1"/>
          <w:sz w:val="18"/>
          <w:szCs w:val="16"/>
        </w:rPr>
        <w:t>During his professional carrier, he has worked as a clinical pharmacist with caring, respectful, and compassionate passion.</w:t>
      </w:r>
      <w:r w:rsidRPr="001B6712">
        <w:rPr>
          <w:rFonts w:cstheme="minorHAnsi"/>
          <w:color w:val="000000" w:themeColor="text1"/>
          <w:sz w:val="18"/>
          <w:szCs w:val="16"/>
        </w:rPr>
        <w:t xml:space="preserve"> Meantime, he had involved in research independently and in collaboration with his colleagues and international reviewers/researchers.</w:t>
      </w:r>
      <w:r w:rsidRPr="001B6712">
        <w:rPr>
          <w:sz w:val="18"/>
          <w:szCs w:val="16"/>
        </w:rPr>
        <w:t xml:space="preserve"> He has his expertise in evaluation and passion in improving the health and wellbeing.</w:t>
      </w:r>
    </w:p>
    <w:p w:rsidR="00AE3E37" w:rsidRDefault="00A9710C">
      <w:pPr>
        <w:spacing w:before="62"/>
        <w:ind w:left="4217" w:right="4235"/>
        <w:jc w:val="center"/>
        <w:rPr>
          <w:rFonts w:ascii="Arial"/>
          <w:sz w:val="14"/>
        </w:rPr>
      </w:pPr>
      <w:r>
        <w:rPr>
          <w:rFonts w:ascii="Arial"/>
          <w:sz w:val="14"/>
        </w:rPr>
        <w:t xml:space="preserve">Email: </w:t>
      </w:r>
      <w:hyperlink r:id="rId11" w:history="1">
        <w:r w:rsidR="000859E5" w:rsidRPr="00E04522">
          <w:rPr>
            <w:rStyle w:val="Hyperlink"/>
            <w:rFonts w:ascii="Arial"/>
            <w:sz w:val="14"/>
          </w:rPr>
          <w:t>gebretekl@gmail.com</w:t>
        </w:r>
      </w:hyperlink>
    </w:p>
    <w:p w:rsidR="00AE3E37" w:rsidRDefault="00292ED9">
      <w:pPr>
        <w:pStyle w:val="BodyText"/>
        <w:spacing w:before="2"/>
        <w:rPr>
          <w:rFonts w:ascii="Arial"/>
          <w:sz w:val="19"/>
        </w:rPr>
      </w:pPr>
      <w:r>
        <w:rPr>
          <w:noProof/>
          <w:lang w:val="en-ZW" w:eastAsia="en-ZW"/>
        </w:rPr>
        <mc:AlternateContent>
          <mc:Choice Requires="wps">
            <w:drawing>
              <wp:anchor distT="0" distB="0" distL="0" distR="0" simplePos="0" relativeHeight="1072" behindDoc="0" locked="0" layoutInCell="1" allowOverlap="1" wp14:anchorId="595FEA2A" wp14:editId="4FA72BF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E3E37">
      <w:pPr>
        <w:rPr>
          <w:rFonts w:ascii="Minion Pro"/>
          <w:sz w:val="24"/>
        </w:rPr>
        <w:sectPr w:rsidR="00AE3E37" w:rsidSect="00FB657E">
          <w:type w:val="continuous"/>
          <w:pgSz w:w="11910" w:h="16840"/>
          <w:pgMar w:top="1180" w:right="750" w:bottom="840" w:left="720" w:header="720" w:footer="720" w:gutter="0"/>
          <w:cols w:space="720"/>
        </w:sectPr>
      </w:pPr>
    </w:p>
    <w:p w:rsidR="00AE3E37" w:rsidRDefault="00AE3E37">
      <w:pPr>
        <w:pStyle w:val="BodyText"/>
        <w:spacing w:before="3"/>
        <w:rPr>
          <w:rFonts w:ascii="Minion Pro"/>
          <w:sz w:val="26"/>
        </w:rPr>
      </w:pPr>
    </w:p>
    <w:sectPr w:rsidR="00AE3E37" w:rsidSect="006B4634">
      <w:type w:val="continuous"/>
      <w:pgSz w:w="11910" w:h="16840"/>
      <w:pgMar w:top="118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607B" w:rsidRDefault="0030607B">
      <w:r>
        <w:separator/>
      </w:r>
    </w:p>
  </w:endnote>
  <w:endnote w:type="continuationSeparator" w:id="0">
    <w:p w:rsidR="0030607B" w:rsidRDefault="003060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OpenSans">
    <w:altName w:val="Times New Roman"/>
    <w:panose1 w:val="00000000000000000000"/>
    <w:charset w:val="00"/>
    <w:family w:val="roman"/>
    <w:notTrueType/>
    <w:pitch w:val="default"/>
  </w:font>
  <w:font w:name="Helvetica-Bold">
    <w:altName w:val="Times New Roman"/>
    <w:panose1 w:val="00000000000000000000"/>
    <w:charset w:val="00"/>
    <w:family w:val="roman"/>
    <w:notTrueType/>
    <w:pitch w:val="default"/>
  </w:font>
  <w:font w:name="UniversATT-Bold">
    <w:altName w:val="Times New Roman"/>
    <w:panose1 w:val="00000000000000000000"/>
    <w:charset w:val="00"/>
    <w:family w:val="roman"/>
    <w:notTrueType/>
    <w:pitch w:val="default"/>
  </w:font>
  <w:font w:name="MyriadPro-Regular">
    <w:altName w:val="Times New Roman"/>
    <w:panose1 w:val="00000000000000000000"/>
    <w:charset w:val="00"/>
    <w:family w:val="roman"/>
    <w:notTrueType/>
    <w:pitch w:val="default"/>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ZW" w:eastAsia="en-ZW"/>
      </w:rPr>
      <mc:AlternateContent>
        <mc:Choice Requires="wps">
          <w:drawing>
            <wp:anchor distT="0" distB="0" distL="114300" distR="114300" simplePos="0" relativeHeight="503311928" behindDoc="1" locked="0" layoutInCell="1" allowOverlap="1" wp14:anchorId="753C8C19" wp14:editId="2ED7832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
                </w:txbxContent>
              </v:textbox>
              <w10:wrap anchorx="page" anchory="page"/>
            </v:shape>
          </w:pict>
        </mc:Fallback>
      </mc:AlternateContent>
    </w:r>
    <w:r>
      <w:rPr>
        <w:noProof/>
        <w:lang w:val="en-ZW" w:eastAsia="en-ZW"/>
      </w:rPr>
      <mc:AlternateContent>
        <mc:Choice Requires="wps">
          <w:drawing>
            <wp:anchor distT="0" distB="0" distL="114300" distR="114300" simplePos="0" relativeHeight="503311952" behindDoc="1" locked="0" layoutInCell="1" allowOverlap="1" wp14:anchorId="1CCF7AE9" wp14:editId="5EAB0D4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ZW" w:eastAsia="en-ZW"/>
      </w:rPr>
      <mc:AlternateContent>
        <mc:Choice Requires="wps">
          <w:drawing>
            <wp:anchor distT="0" distB="0" distL="114300" distR="114300" simplePos="0" relativeHeight="503311976" behindDoc="1" locked="0" layoutInCell="1" allowOverlap="1" wp14:anchorId="6328D4A0" wp14:editId="3071DFAF">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607B" w:rsidRDefault="0030607B">
      <w:r>
        <w:separator/>
      </w:r>
    </w:p>
  </w:footnote>
  <w:footnote w:type="continuationSeparator" w:id="0">
    <w:p w:rsidR="0030607B" w:rsidRDefault="0030607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ZW" w:eastAsia="en-ZW"/>
      </w:rPr>
      <mc:AlternateContent>
        <mc:Choice Requires="wps">
          <w:drawing>
            <wp:anchor distT="0" distB="0" distL="114300" distR="114300" simplePos="0" relativeHeight="503311880" behindDoc="1" locked="0" layoutInCell="1" allowOverlap="1" wp14:anchorId="4A50F47D" wp14:editId="1EC03FFF">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6B4634" w:rsidRDefault="00C10E43">
                          <w:pPr>
                            <w:spacing w:before="2" w:line="249" w:lineRule="auto"/>
                            <w:ind w:left="156" w:right="18" w:hanging="137"/>
                            <w:rPr>
                              <w:rFonts w:ascii="Arial"/>
                              <w:color w:val="000000" w:themeColor="text1"/>
                              <w:sz w:val="14"/>
                            </w:rPr>
                          </w:pPr>
                          <w:r>
                            <w:rPr>
                              <w:rFonts w:ascii="Arial"/>
                              <w:color w:val="000000" w:themeColor="text1"/>
                              <w:sz w:val="14"/>
                            </w:rPr>
                            <w:t>Demoz</w:t>
                          </w:r>
                          <w:r w:rsidR="00A9710C" w:rsidRPr="006B4634">
                            <w:rPr>
                              <w:rFonts w:ascii="Arial"/>
                              <w:color w:val="000000" w:themeColor="text1"/>
                              <w:sz w:val="14"/>
                            </w:rPr>
                            <w:t xml:space="preserve"> et al., </w:t>
                          </w:r>
                          <w:r w:rsidRPr="00DF1513">
                            <w:rPr>
                              <w:rFonts w:eastAsia="Times New Roman" w:cs="Times New Roman"/>
                              <w:color w:val="000000"/>
                              <w:sz w:val="13"/>
                              <w:szCs w:val="13"/>
                            </w:rPr>
                            <w:t>BMC research note.</w:t>
                          </w:r>
                          <w:r w:rsidRPr="008C67A8">
                            <w:rPr>
                              <w:rFonts w:eastAsia="Times New Roman" w:cs="Times New Roman"/>
                              <w:b/>
                              <w:bCs/>
                              <w:color w:val="000000"/>
                              <w:sz w:val="13"/>
                              <w:szCs w:val="13"/>
                            </w:rPr>
                            <w:t xml:space="preserve"> </w:t>
                          </w:r>
                          <w:r w:rsidRPr="00DF1513">
                            <w:rPr>
                              <w:rFonts w:eastAsia="Times New Roman" w:cs="Times New Roman"/>
                              <w:i/>
                              <w:iCs/>
                              <w:color w:val="000000"/>
                              <w:sz w:val="13"/>
                              <w:szCs w:val="13"/>
                            </w:rPr>
                            <w:t xml:space="preserve">(2019) </w:t>
                          </w:r>
                          <w:r w:rsidRPr="008C67A8">
                            <w:rPr>
                              <w:i/>
                              <w:iCs/>
                              <w:color w:val="000000"/>
                              <w:sz w:val="13"/>
                              <w:szCs w:val="13"/>
                            </w:rPr>
                            <w:t>12:386</w:t>
                          </w:r>
                          <w:r>
                            <w:rPr>
                              <w:i/>
                              <w:iCs/>
                              <w:color w:val="000000"/>
                              <w:sz w:val="13"/>
                              <w:szCs w:val="13"/>
                            </w:rPr>
                            <w:t xml:space="preserve"> </w:t>
                          </w:r>
                          <w:r w:rsidRPr="008C67A8">
                            <w:rPr>
                              <w:color w:val="000000"/>
                              <w:sz w:val="13"/>
                              <w:szCs w:val="13"/>
                            </w:rPr>
                            <w:t>https://d</w:t>
                          </w:r>
                          <w:r w:rsidR="00DB2954">
                            <w:rPr>
                              <w:color w:val="000000"/>
                              <w:sz w:val="13"/>
                              <w:szCs w:val="13"/>
                            </w:rPr>
                            <w:t>oi.org/10.1186/s13104-019-4423-9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6B4634" w:rsidRDefault="00C10E43">
                    <w:pPr>
                      <w:spacing w:before="2" w:line="249" w:lineRule="auto"/>
                      <w:ind w:left="156" w:right="18" w:hanging="137"/>
                      <w:rPr>
                        <w:rFonts w:ascii="Arial"/>
                        <w:color w:val="000000" w:themeColor="text1"/>
                        <w:sz w:val="14"/>
                      </w:rPr>
                    </w:pPr>
                    <w:r>
                      <w:rPr>
                        <w:rFonts w:ascii="Arial"/>
                        <w:color w:val="000000" w:themeColor="text1"/>
                        <w:sz w:val="14"/>
                      </w:rPr>
                      <w:t>Demoz</w:t>
                    </w:r>
                    <w:r w:rsidR="00A9710C" w:rsidRPr="006B4634">
                      <w:rPr>
                        <w:rFonts w:ascii="Arial"/>
                        <w:color w:val="000000" w:themeColor="text1"/>
                        <w:sz w:val="14"/>
                      </w:rPr>
                      <w:t xml:space="preserve"> et al., </w:t>
                    </w:r>
                    <w:r w:rsidRPr="00DF1513">
                      <w:rPr>
                        <w:rFonts w:eastAsia="Times New Roman" w:cs="Times New Roman"/>
                        <w:color w:val="000000"/>
                        <w:sz w:val="13"/>
                        <w:szCs w:val="13"/>
                      </w:rPr>
                      <w:t>BMC research note.</w:t>
                    </w:r>
                    <w:r w:rsidRPr="008C67A8">
                      <w:rPr>
                        <w:rFonts w:eastAsia="Times New Roman" w:cs="Times New Roman"/>
                        <w:b/>
                        <w:bCs/>
                        <w:color w:val="000000"/>
                        <w:sz w:val="13"/>
                        <w:szCs w:val="13"/>
                      </w:rPr>
                      <w:t xml:space="preserve"> </w:t>
                    </w:r>
                    <w:r w:rsidRPr="00DF1513">
                      <w:rPr>
                        <w:rFonts w:eastAsia="Times New Roman" w:cs="Times New Roman"/>
                        <w:i/>
                        <w:iCs/>
                        <w:color w:val="000000"/>
                        <w:sz w:val="13"/>
                        <w:szCs w:val="13"/>
                      </w:rPr>
                      <w:t xml:space="preserve">(2019) </w:t>
                    </w:r>
                    <w:r w:rsidRPr="008C67A8">
                      <w:rPr>
                        <w:i/>
                        <w:iCs/>
                        <w:color w:val="000000"/>
                        <w:sz w:val="13"/>
                        <w:szCs w:val="13"/>
                      </w:rPr>
                      <w:t>12:386</w:t>
                    </w:r>
                    <w:r>
                      <w:rPr>
                        <w:i/>
                        <w:iCs/>
                        <w:color w:val="000000"/>
                        <w:sz w:val="13"/>
                        <w:szCs w:val="13"/>
                      </w:rPr>
                      <w:t xml:space="preserve"> </w:t>
                    </w:r>
                    <w:r w:rsidRPr="008C67A8">
                      <w:rPr>
                        <w:color w:val="000000"/>
                        <w:sz w:val="13"/>
                        <w:szCs w:val="13"/>
                      </w:rPr>
                      <w:t>https://d</w:t>
                    </w:r>
                    <w:r w:rsidR="00DB2954">
                      <w:rPr>
                        <w:color w:val="000000"/>
                        <w:sz w:val="13"/>
                        <w:szCs w:val="13"/>
                      </w:rPr>
                      <w:t>oi.org/10.1186/s13104-019-4423-9</w:t>
                    </w:r>
                  </w:p>
                </w:txbxContent>
              </v:textbox>
              <w10:wrap anchorx="page" anchory="page"/>
            </v:shape>
          </w:pict>
        </mc:Fallback>
      </mc:AlternateContent>
    </w:r>
    <w:r>
      <w:rPr>
        <w:noProof/>
        <w:lang w:val="en-ZW" w:eastAsia="en-ZW"/>
      </w:rPr>
      <mc:AlternateContent>
        <mc:Choice Requires="wps">
          <w:drawing>
            <wp:anchor distT="0" distB="0" distL="114300" distR="114300" simplePos="0" relativeHeight="503311904" behindDoc="1" locked="0" layoutInCell="1" allowOverlap="1" wp14:anchorId="5063D248" wp14:editId="2086FA49">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573140D"/>
    <w:multiLevelType w:val="hybridMultilevel"/>
    <w:tmpl w:val="9CC0DEF2"/>
    <w:lvl w:ilvl="0" w:tplc="7AFC797A">
      <w:start w:val="1"/>
      <w:numFmt w:val="decimal"/>
      <w:lvlText w:val="%1."/>
      <w:lvlJc w:val="left"/>
      <w:pPr>
        <w:ind w:left="360" w:hanging="360"/>
      </w:pPr>
      <w:rPr>
        <w:rFonts w:ascii="Tw Cen MT" w:eastAsiaTheme="minorHAnsi" w:hAnsi="Tw Cen MT" w:cs="Times New Roman" w:hint="default"/>
        <w:b w:val="0"/>
        <w:sz w:val="12"/>
        <w:szCs w:val="12"/>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3729D"/>
    <w:rsid w:val="000859E5"/>
    <w:rsid w:val="000E2911"/>
    <w:rsid w:val="001263DF"/>
    <w:rsid w:val="0015301D"/>
    <w:rsid w:val="001628DB"/>
    <w:rsid w:val="001815AE"/>
    <w:rsid w:val="001A66EB"/>
    <w:rsid w:val="001B6712"/>
    <w:rsid w:val="001E464B"/>
    <w:rsid w:val="001E763C"/>
    <w:rsid w:val="00283162"/>
    <w:rsid w:val="00292ED9"/>
    <w:rsid w:val="002B0D26"/>
    <w:rsid w:val="0030607B"/>
    <w:rsid w:val="00314AFB"/>
    <w:rsid w:val="00324483"/>
    <w:rsid w:val="003561BB"/>
    <w:rsid w:val="003946DA"/>
    <w:rsid w:val="003B76D9"/>
    <w:rsid w:val="003D3D10"/>
    <w:rsid w:val="003F6017"/>
    <w:rsid w:val="004000D9"/>
    <w:rsid w:val="00404E5B"/>
    <w:rsid w:val="00414F7B"/>
    <w:rsid w:val="00424D73"/>
    <w:rsid w:val="004355DC"/>
    <w:rsid w:val="00454FCA"/>
    <w:rsid w:val="00470B78"/>
    <w:rsid w:val="004749B4"/>
    <w:rsid w:val="00494130"/>
    <w:rsid w:val="004F3523"/>
    <w:rsid w:val="005973B9"/>
    <w:rsid w:val="005B13A8"/>
    <w:rsid w:val="005B31B5"/>
    <w:rsid w:val="005B3A56"/>
    <w:rsid w:val="005E523A"/>
    <w:rsid w:val="006060CE"/>
    <w:rsid w:val="0063497F"/>
    <w:rsid w:val="006B4634"/>
    <w:rsid w:val="00760D74"/>
    <w:rsid w:val="0078738A"/>
    <w:rsid w:val="007A4EBF"/>
    <w:rsid w:val="00821A9D"/>
    <w:rsid w:val="00836980"/>
    <w:rsid w:val="00841748"/>
    <w:rsid w:val="008544A1"/>
    <w:rsid w:val="00873DF0"/>
    <w:rsid w:val="008756E6"/>
    <w:rsid w:val="008C67A8"/>
    <w:rsid w:val="009142DD"/>
    <w:rsid w:val="00965611"/>
    <w:rsid w:val="009919EE"/>
    <w:rsid w:val="009B2D44"/>
    <w:rsid w:val="009B4115"/>
    <w:rsid w:val="009C13BA"/>
    <w:rsid w:val="009F33BE"/>
    <w:rsid w:val="00A07E82"/>
    <w:rsid w:val="00A63797"/>
    <w:rsid w:val="00A77057"/>
    <w:rsid w:val="00A9710C"/>
    <w:rsid w:val="00AD5818"/>
    <w:rsid w:val="00AE3E37"/>
    <w:rsid w:val="00B10B51"/>
    <w:rsid w:val="00B14CF8"/>
    <w:rsid w:val="00B21A57"/>
    <w:rsid w:val="00B35A6B"/>
    <w:rsid w:val="00B62B4D"/>
    <w:rsid w:val="00BC3AB3"/>
    <w:rsid w:val="00C10E43"/>
    <w:rsid w:val="00C2255B"/>
    <w:rsid w:val="00C33602"/>
    <w:rsid w:val="00C7661C"/>
    <w:rsid w:val="00CB7A58"/>
    <w:rsid w:val="00CD6F55"/>
    <w:rsid w:val="00D62425"/>
    <w:rsid w:val="00D7778E"/>
    <w:rsid w:val="00D8499A"/>
    <w:rsid w:val="00D90EDF"/>
    <w:rsid w:val="00DB2954"/>
    <w:rsid w:val="00DD6319"/>
    <w:rsid w:val="00DE3104"/>
    <w:rsid w:val="00DF1513"/>
    <w:rsid w:val="00E476FA"/>
    <w:rsid w:val="00E9551C"/>
    <w:rsid w:val="00F12114"/>
    <w:rsid w:val="00F23664"/>
    <w:rsid w:val="00F40F9B"/>
    <w:rsid w:val="00F72154"/>
    <w:rsid w:val="00F72EEA"/>
    <w:rsid w:val="00F750F1"/>
    <w:rsid w:val="00F8136A"/>
    <w:rsid w:val="00F84CAE"/>
    <w:rsid w:val="00FA3F4B"/>
    <w:rsid w:val="00FB657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NoSpacingChar">
    <w:name w:val="No Spacing Char"/>
    <w:link w:val="NoSpacing"/>
    <w:uiPriority w:val="1"/>
    <w:locked/>
    <w:rsid w:val="005B31B5"/>
    <w:rPr>
      <w:rFonts w:ascii="Times New Roman" w:eastAsia="Times New Roman" w:hAnsi="Times New Roman"/>
    </w:rPr>
  </w:style>
  <w:style w:type="paragraph" w:styleId="NoSpacing">
    <w:name w:val="No Spacing"/>
    <w:link w:val="NoSpacingChar"/>
    <w:uiPriority w:val="1"/>
    <w:qFormat/>
    <w:rsid w:val="005B31B5"/>
    <w:pPr>
      <w:widowControl/>
      <w:jc w:val="both"/>
    </w:pPr>
    <w:rPr>
      <w:rFonts w:ascii="Times New Roman" w:eastAsia="Times New Roman" w:hAnsi="Times New Roman"/>
    </w:rPr>
  </w:style>
  <w:style w:type="character" w:customStyle="1" w:styleId="fontstyle01">
    <w:name w:val="fontstyle01"/>
    <w:basedOn w:val="DefaultParagraphFont"/>
    <w:rsid w:val="00DF1513"/>
    <w:rPr>
      <w:rFonts w:ascii="OpenSans" w:hAnsi="OpenSans" w:hint="default"/>
      <w:b w:val="0"/>
      <w:bCs w:val="0"/>
      <w:i w:val="0"/>
      <w:iCs w:val="0"/>
      <w:color w:val="000000"/>
      <w:sz w:val="36"/>
      <w:szCs w:val="36"/>
    </w:rPr>
  </w:style>
  <w:style w:type="character" w:customStyle="1" w:styleId="fontstyle21">
    <w:name w:val="fontstyle21"/>
    <w:basedOn w:val="DefaultParagraphFont"/>
    <w:rsid w:val="00DF1513"/>
    <w:rPr>
      <w:rFonts w:ascii="Helvetica-Bold" w:hAnsi="Helvetica-Bold" w:hint="default"/>
      <w:b/>
      <w:bCs/>
      <w:i w:val="0"/>
      <w:iCs w:val="0"/>
      <w:color w:val="000000"/>
      <w:sz w:val="18"/>
      <w:szCs w:val="18"/>
    </w:rPr>
  </w:style>
  <w:style w:type="character" w:customStyle="1" w:styleId="fontstyle31">
    <w:name w:val="fontstyle31"/>
    <w:basedOn w:val="DefaultParagraphFont"/>
    <w:rsid w:val="00DF1513"/>
    <w:rPr>
      <w:rFonts w:ascii="UniversATT-Bold" w:hAnsi="UniversATT-Bold" w:hint="default"/>
      <w:b/>
      <w:bCs/>
      <w:i w:val="0"/>
      <w:iCs w:val="0"/>
      <w:color w:val="000000"/>
      <w:sz w:val="18"/>
      <w:szCs w:val="18"/>
    </w:rPr>
  </w:style>
  <w:style w:type="character" w:customStyle="1" w:styleId="fontstyle11">
    <w:name w:val="fontstyle11"/>
    <w:basedOn w:val="DefaultParagraphFont"/>
    <w:rsid w:val="009C13BA"/>
    <w:rPr>
      <w:rFonts w:ascii="MyriadPro-Regular" w:hAnsi="MyriadPro-Regular" w:hint="default"/>
      <w:b w:val="0"/>
      <w:bCs w:val="0"/>
      <w:i w:val="0"/>
      <w:iCs w:val="0"/>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NoSpacingChar">
    <w:name w:val="No Spacing Char"/>
    <w:link w:val="NoSpacing"/>
    <w:uiPriority w:val="1"/>
    <w:locked/>
    <w:rsid w:val="005B31B5"/>
    <w:rPr>
      <w:rFonts w:ascii="Times New Roman" w:eastAsia="Times New Roman" w:hAnsi="Times New Roman"/>
    </w:rPr>
  </w:style>
  <w:style w:type="paragraph" w:styleId="NoSpacing">
    <w:name w:val="No Spacing"/>
    <w:link w:val="NoSpacingChar"/>
    <w:uiPriority w:val="1"/>
    <w:qFormat/>
    <w:rsid w:val="005B31B5"/>
    <w:pPr>
      <w:widowControl/>
      <w:jc w:val="both"/>
    </w:pPr>
    <w:rPr>
      <w:rFonts w:ascii="Times New Roman" w:eastAsia="Times New Roman" w:hAnsi="Times New Roman"/>
    </w:rPr>
  </w:style>
  <w:style w:type="character" w:customStyle="1" w:styleId="fontstyle01">
    <w:name w:val="fontstyle01"/>
    <w:basedOn w:val="DefaultParagraphFont"/>
    <w:rsid w:val="00DF1513"/>
    <w:rPr>
      <w:rFonts w:ascii="OpenSans" w:hAnsi="OpenSans" w:hint="default"/>
      <w:b w:val="0"/>
      <w:bCs w:val="0"/>
      <w:i w:val="0"/>
      <w:iCs w:val="0"/>
      <w:color w:val="000000"/>
      <w:sz w:val="36"/>
      <w:szCs w:val="36"/>
    </w:rPr>
  </w:style>
  <w:style w:type="character" w:customStyle="1" w:styleId="fontstyle21">
    <w:name w:val="fontstyle21"/>
    <w:basedOn w:val="DefaultParagraphFont"/>
    <w:rsid w:val="00DF1513"/>
    <w:rPr>
      <w:rFonts w:ascii="Helvetica-Bold" w:hAnsi="Helvetica-Bold" w:hint="default"/>
      <w:b/>
      <w:bCs/>
      <w:i w:val="0"/>
      <w:iCs w:val="0"/>
      <w:color w:val="000000"/>
      <w:sz w:val="18"/>
      <w:szCs w:val="18"/>
    </w:rPr>
  </w:style>
  <w:style w:type="character" w:customStyle="1" w:styleId="fontstyle31">
    <w:name w:val="fontstyle31"/>
    <w:basedOn w:val="DefaultParagraphFont"/>
    <w:rsid w:val="00DF1513"/>
    <w:rPr>
      <w:rFonts w:ascii="UniversATT-Bold" w:hAnsi="UniversATT-Bold" w:hint="default"/>
      <w:b/>
      <w:bCs/>
      <w:i w:val="0"/>
      <w:iCs w:val="0"/>
      <w:color w:val="000000"/>
      <w:sz w:val="18"/>
      <w:szCs w:val="18"/>
    </w:rPr>
  </w:style>
  <w:style w:type="character" w:customStyle="1" w:styleId="fontstyle11">
    <w:name w:val="fontstyle11"/>
    <w:basedOn w:val="DefaultParagraphFont"/>
    <w:rsid w:val="009C13BA"/>
    <w:rPr>
      <w:rFonts w:ascii="MyriadPro-Regular" w:hAnsi="MyriadPro-Regular" w:hint="default"/>
      <w:b w:val="0"/>
      <w:bCs w:val="0"/>
      <w:i w:val="0"/>
      <w:iCs w:val="0"/>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gebretekl@gmail.com"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795</Words>
  <Characters>4538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GTD-AkU</cp:lastModifiedBy>
  <cp:revision>3</cp:revision>
  <cp:lastPrinted>2019-08-02T01:58:00Z</cp:lastPrinted>
  <dcterms:created xsi:type="dcterms:W3CDTF">2020-01-23T12:13:00Z</dcterms:created>
  <dcterms:modified xsi:type="dcterms:W3CDTF">2020-01-23T12:13:00Z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