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3F8" w:rsidRPr="00284B27" w:rsidRDefault="00B623F8" w:rsidP="00B623F8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84B27">
        <w:rPr>
          <w:rFonts w:ascii="Times New Roman" w:hAnsi="Times New Roman"/>
          <w:b/>
          <w:sz w:val="24"/>
          <w:szCs w:val="24"/>
          <w:lang w:val="en-US"/>
        </w:rPr>
        <w:t xml:space="preserve">Protective and predisposing genes to chronic adrenal insufficiency in patients with APS 2,3,4 types and Graves’ disease - polymorphism of </w:t>
      </w:r>
      <w:r w:rsidRPr="00284B27">
        <w:rPr>
          <w:rFonts w:ascii="Times New Roman" w:hAnsi="Times New Roman"/>
          <w:b/>
          <w:i/>
          <w:sz w:val="24"/>
          <w:szCs w:val="24"/>
          <w:lang w:val="en-US"/>
        </w:rPr>
        <w:t>HLA II</w:t>
      </w:r>
      <w:r w:rsidRPr="00284B27">
        <w:rPr>
          <w:rFonts w:ascii="Times New Roman" w:hAnsi="Times New Roman"/>
          <w:b/>
          <w:sz w:val="24"/>
          <w:szCs w:val="24"/>
          <w:lang w:val="en-US"/>
        </w:rPr>
        <w:t xml:space="preserve"> , </w:t>
      </w:r>
      <w:r w:rsidRPr="00284B27">
        <w:rPr>
          <w:rFonts w:ascii="Times New Roman" w:hAnsi="Times New Roman"/>
          <w:b/>
          <w:i/>
          <w:sz w:val="24"/>
          <w:szCs w:val="24"/>
          <w:lang w:val="en-US"/>
        </w:rPr>
        <w:t xml:space="preserve">CTLA-4 </w:t>
      </w:r>
      <w:r w:rsidRPr="00284B27">
        <w:rPr>
          <w:rFonts w:ascii="Times New Roman" w:hAnsi="Times New Roman"/>
          <w:b/>
          <w:sz w:val="24"/>
          <w:szCs w:val="24"/>
          <w:lang w:val="en-US"/>
        </w:rPr>
        <w:t xml:space="preserve">and </w:t>
      </w:r>
      <w:r w:rsidRPr="00284B27">
        <w:rPr>
          <w:rFonts w:ascii="Times New Roman" w:hAnsi="Times New Roman"/>
          <w:b/>
          <w:i/>
          <w:sz w:val="24"/>
          <w:szCs w:val="24"/>
          <w:lang w:val="en-US"/>
        </w:rPr>
        <w:t>PTPN22</w:t>
      </w:r>
      <w:r w:rsidRPr="00284B27">
        <w:rPr>
          <w:rFonts w:ascii="Times New Roman" w:hAnsi="Times New Roman"/>
          <w:b/>
          <w:sz w:val="24"/>
          <w:szCs w:val="24"/>
          <w:lang w:val="en-US"/>
        </w:rPr>
        <w:t xml:space="preserve"> genes. </w:t>
      </w:r>
    </w:p>
    <w:p w:rsidR="00B623F8" w:rsidRPr="00284B27" w:rsidRDefault="00B623F8" w:rsidP="00B623F8">
      <w:pPr>
        <w:spacing w:line="240" w:lineRule="auto"/>
        <w:ind w:firstLine="709"/>
        <w:jc w:val="center"/>
        <w:rPr>
          <w:rFonts w:ascii="Times New Roman" w:eastAsia="Times New Roman" w:hAnsi="Times New Roman"/>
          <w:color w:val="212121"/>
          <w:sz w:val="24"/>
          <w:szCs w:val="24"/>
          <w:lang w:val="en-US" w:eastAsia="ru-RU"/>
        </w:rPr>
      </w:pPr>
      <w:proofErr w:type="spellStart"/>
      <w:r w:rsidRPr="00284B27">
        <w:rPr>
          <w:rFonts w:ascii="Times New Roman" w:eastAsia="Times New Roman" w:hAnsi="Times New Roman"/>
          <w:color w:val="212121"/>
          <w:sz w:val="24"/>
          <w:szCs w:val="24"/>
          <w:lang w:val="en" w:eastAsia="ru-RU"/>
        </w:rPr>
        <w:t>Larina</w:t>
      </w:r>
      <w:proofErr w:type="spellEnd"/>
      <w:r w:rsidRPr="00284B27">
        <w:rPr>
          <w:rFonts w:ascii="Times New Roman" w:eastAsia="Times New Roman" w:hAnsi="Times New Roman"/>
          <w:color w:val="212121"/>
          <w:sz w:val="24"/>
          <w:szCs w:val="24"/>
          <w:lang w:val="en" w:eastAsia="ru-RU"/>
        </w:rPr>
        <w:t xml:space="preserve"> A</w:t>
      </w:r>
      <w:r w:rsidRPr="00284B27">
        <w:rPr>
          <w:rFonts w:ascii="Times New Roman" w:eastAsia="Times New Roman" w:hAnsi="Times New Roman"/>
          <w:color w:val="212121"/>
          <w:sz w:val="24"/>
          <w:szCs w:val="24"/>
          <w:lang w:val="en-US" w:eastAsia="ru-RU"/>
        </w:rPr>
        <w:t>.</w:t>
      </w:r>
      <w:r w:rsidRPr="00284B27">
        <w:rPr>
          <w:rFonts w:ascii="Times New Roman" w:eastAsia="Times New Roman" w:hAnsi="Times New Roman"/>
          <w:color w:val="212121"/>
          <w:sz w:val="24"/>
          <w:szCs w:val="24"/>
          <w:lang w:val="en" w:eastAsia="ru-RU"/>
        </w:rPr>
        <w:t>A</w:t>
      </w:r>
      <w:r w:rsidRPr="00284B27">
        <w:rPr>
          <w:rFonts w:ascii="Times New Roman" w:eastAsia="Times New Roman" w:hAnsi="Times New Roman"/>
          <w:color w:val="212121"/>
          <w:sz w:val="24"/>
          <w:szCs w:val="24"/>
          <w:lang w:val="en-US" w:eastAsia="ru-RU"/>
        </w:rPr>
        <w:t xml:space="preserve">, </w:t>
      </w:r>
      <w:proofErr w:type="spellStart"/>
      <w:r w:rsidRPr="00284B27">
        <w:rPr>
          <w:rFonts w:ascii="Times New Roman" w:eastAsia="Times New Roman" w:hAnsi="Times New Roman"/>
          <w:color w:val="212121"/>
          <w:sz w:val="24"/>
          <w:szCs w:val="24"/>
          <w:lang w:val="en" w:eastAsia="ru-RU"/>
        </w:rPr>
        <w:t>Troshina</w:t>
      </w:r>
      <w:proofErr w:type="spellEnd"/>
      <w:r w:rsidRPr="00284B27">
        <w:rPr>
          <w:rFonts w:ascii="Times New Roman" w:eastAsia="Times New Roman" w:hAnsi="Times New Roman"/>
          <w:color w:val="212121"/>
          <w:sz w:val="24"/>
          <w:szCs w:val="24"/>
          <w:lang w:val="en" w:eastAsia="ru-RU"/>
        </w:rPr>
        <w:t xml:space="preserve"> E</w:t>
      </w:r>
      <w:r w:rsidRPr="00284B27">
        <w:rPr>
          <w:rFonts w:ascii="Times New Roman" w:eastAsia="Times New Roman" w:hAnsi="Times New Roman"/>
          <w:color w:val="212121"/>
          <w:sz w:val="24"/>
          <w:szCs w:val="24"/>
          <w:lang w:val="en-US" w:eastAsia="ru-RU"/>
        </w:rPr>
        <w:t>.</w:t>
      </w:r>
      <w:r w:rsidRPr="00284B27">
        <w:rPr>
          <w:rFonts w:ascii="Times New Roman" w:eastAsia="Times New Roman" w:hAnsi="Times New Roman"/>
          <w:color w:val="212121"/>
          <w:sz w:val="24"/>
          <w:szCs w:val="24"/>
          <w:lang w:val="en" w:eastAsia="ru-RU"/>
        </w:rPr>
        <w:t>A,</w:t>
      </w:r>
      <w:r w:rsidRPr="00284B27">
        <w:rPr>
          <w:rFonts w:ascii="Times New Roman" w:eastAsia="Times New Roman" w:hAnsi="Times New Roman"/>
          <w:color w:val="212121"/>
          <w:sz w:val="24"/>
          <w:szCs w:val="24"/>
          <w:lang w:val="en-US" w:eastAsia="ru-RU"/>
        </w:rPr>
        <w:t xml:space="preserve"> </w:t>
      </w:r>
      <w:proofErr w:type="spellStart"/>
      <w:r w:rsidRPr="00284B27">
        <w:rPr>
          <w:rFonts w:ascii="Times New Roman" w:eastAsia="Times New Roman" w:hAnsi="Times New Roman"/>
          <w:color w:val="212121"/>
          <w:sz w:val="24"/>
          <w:szCs w:val="24"/>
          <w:lang w:val="en-US" w:eastAsia="ru-RU"/>
        </w:rPr>
        <w:t>Vasiliev</w:t>
      </w:r>
      <w:proofErr w:type="spellEnd"/>
      <w:r w:rsidRPr="00284B27">
        <w:rPr>
          <w:rFonts w:ascii="Times New Roman" w:eastAsia="Times New Roman" w:hAnsi="Times New Roman"/>
          <w:color w:val="212121"/>
          <w:sz w:val="24"/>
          <w:szCs w:val="24"/>
          <w:lang w:val="en-US" w:eastAsia="ru-RU"/>
        </w:rPr>
        <w:t xml:space="preserve"> E.V.</w:t>
      </w:r>
    </w:p>
    <w:p w:rsidR="00B623F8" w:rsidRPr="00284B27" w:rsidRDefault="00B623F8" w:rsidP="00B623F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  <w:lang w:val="en-US"/>
        </w:rPr>
      </w:pPr>
      <w:r w:rsidRPr="00284B27">
        <w:rPr>
          <w:rFonts w:ascii="Times New Roman" w:hAnsi="Times New Roman"/>
          <w:sz w:val="24"/>
          <w:szCs w:val="24"/>
          <w:lang w:val="en-US"/>
        </w:rPr>
        <w:t>Endocrinology Research Centre, Moscow, Russian Federation.</w:t>
      </w:r>
    </w:p>
    <w:p w:rsidR="00B623F8" w:rsidRPr="00284B27" w:rsidRDefault="00B623F8" w:rsidP="00B623F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84B27">
        <w:rPr>
          <w:rFonts w:ascii="Times New Roman" w:hAnsi="Times New Roman"/>
          <w:sz w:val="24"/>
          <w:szCs w:val="24"/>
          <w:lang w:val="en-US"/>
        </w:rPr>
        <w:t xml:space="preserve">This research was conducted under the research grant “Autoimmune </w:t>
      </w:r>
      <w:proofErr w:type="spellStart"/>
      <w:r w:rsidRPr="00284B27">
        <w:rPr>
          <w:rFonts w:ascii="Times New Roman" w:hAnsi="Times New Roman"/>
          <w:sz w:val="24"/>
          <w:szCs w:val="24"/>
          <w:lang w:val="en-US"/>
        </w:rPr>
        <w:t>endocrinopathies</w:t>
      </w:r>
      <w:proofErr w:type="spellEnd"/>
      <w:r w:rsidRPr="00284B27">
        <w:rPr>
          <w:rFonts w:ascii="Times New Roman" w:hAnsi="Times New Roman"/>
          <w:sz w:val="24"/>
          <w:szCs w:val="24"/>
          <w:lang w:val="en-US"/>
        </w:rPr>
        <w:t xml:space="preserve"> multiple organ failure that are genomic, postgenomic and metabolic markers. Genetic risk prediction, monitoring, early predictors, personalized</w:t>
      </w:r>
      <w:r w:rsidRPr="00284B27">
        <w:rPr>
          <w:rFonts w:ascii="Times New Roman" w:eastAsia="Times New Roman" w:hAnsi="Times New Roman"/>
          <w:color w:val="212121"/>
          <w:sz w:val="24"/>
          <w:szCs w:val="24"/>
          <w:lang w:val="en-US" w:eastAsia="ru-RU"/>
        </w:rPr>
        <w:t xml:space="preserve"> </w:t>
      </w:r>
      <w:r w:rsidRPr="00284B27">
        <w:rPr>
          <w:rFonts w:ascii="Times New Roman" w:hAnsi="Times New Roman"/>
          <w:sz w:val="24"/>
          <w:szCs w:val="24"/>
          <w:lang w:val="en-US"/>
        </w:rPr>
        <w:t>correction and rehabilitation.” Project number is 17-75-30035.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</w:pPr>
      <w:r w:rsidRPr="00284B27">
        <w:rPr>
          <w:rFonts w:ascii="Times New Roman" w:hAnsi="Times New Roman"/>
          <w:b/>
          <w:sz w:val="24"/>
          <w:szCs w:val="24"/>
          <w:lang w:val="en-US"/>
        </w:rPr>
        <w:t>Introduction: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 </w:t>
      </w:r>
      <w:r w:rsidRPr="00284B2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Autoimmune </w:t>
      </w:r>
      <w:proofErr w:type="spellStart"/>
      <w:r w:rsidRPr="00284B2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polyendocrine</w:t>
      </w:r>
      <w:proofErr w:type="spellEnd"/>
      <w:r w:rsidRPr="00284B2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syndromes (APS) are a heterogeneous group of diseases characterized by the presence of autoimmune dysfunction of two or more endocrine glands and other non-endocrine organs. 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284B2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The aim of the study was to determine the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association of chronic adrenal insufficiency with polymorphism of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 xml:space="preserve">HLA II, CTLA-4 </w:t>
      </w:r>
      <w:r w:rsidRPr="00284B27">
        <w:rPr>
          <w:rFonts w:ascii="Times New Roman" w:hAnsi="Times New Roman"/>
          <w:sz w:val="24"/>
          <w:szCs w:val="24"/>
          <w:lang w:val="en-US"/>
        </w:rPr>
        <w:t>and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 xml:space="preserve"> PTPN22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genes among patients with APS 2</w:t>
      </w:r>
      <w:proofErr w:type="gramStart"/>
      <w:r w:rsidRPr="00284B27">
        <w:rPr>
          <w:rFonts w:ascii="Times New Roman" w:hAnsi="Times New Roman"/>
          <w:sz w:val="24"/>
          <w:szCs w:val="24"/>
          <w:lang w:val="en-US"/>
        </w:rPr>
        <w:t>,3,4</w:t>
      </w:r>
      <w:proofErr w:type="gramEnd"/>
      <w:r w:rsidRPr="00284B27">
        <w:rPr>
          <w:rFonts w:ascii="Times New Roman" w:hAnsi="Times New Roman"/>
          <w:sz w:val="24"/>
          <w:szCs w:val="24"/>
          <w:lang w:val="en-US"/>
        </w:rPr>
        <w:t xml:space="preserve"> types and patients with Graves’ disease. The focus of the study was on the revealing of protective genes for Addison’s disease in APS 3 type patients and in patients with Graves’ disease.  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84B27">
        <w:rPr>
          <w:rFonts w:ascii="Times New Roman" w:hAnsi="Times New Roman"/>
          <w:b/>
          <w:sz w:val="24"/>
          <w:szCs w:val="24"/>
          <w:lang w:val="en-US"/>
        </w:rPr>
        <w:t>Materials and methods:</w:t>
      </w:r>
      <w:r w:rsidRPr="00284B27">
        <w:rPr>
          <w:rFonts w:ascii="Times New Roman" w:hAnsi="Times New Roman"/>
          <w:b/>
          <w:color w:val="212121"/>
          <w:sz w:val="24"/>
          <w:szCs w:val="24"/>
          <w:lang w:val="en-US"/>
        </w:rPr>
        <w:t xml:space="preserve">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The case-control study involved 116 patients with APS 2, 3, 4 types, 95 patients with Graves’ disease and 109 healthy subjects. Alleles of the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HLA II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class genes,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CTLA4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PTPN22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284B27">
        <w:rPr>
          <w:rFonts w:ascii="Times New Roman" w:hAnsi="Times New Roman"/>
          <w:sz w:val="24"/>
          <w:szCs w:val="24"/>
          <w:lang w:val="en-US"/>
        </w:rPr>
        <w:t>were identified</w:t>
      </w:r>
      <w:proofErr w:type="gramEnd"/>
      <w:r w:rsidRPr="00284B27">
        <w:rPr>
          <w:rFonts w:ascii="Times New Roman" w:hAnsi="Times New Roman"/>
          <w:sz w:val="24"/>
          <w:szCs w:val="24"/>
          <w:lang w:val="en-US"/>
        </w:rPr>
        <w:t xml:space="preserve"> by the </w:t>
      </w:r>
      <w:bookmarkStart w:id="0" w:name="_GoBack"/>
      <w:proofErr w:type="spellStart"/>
      <w:r w:rsidRPr="00284B27">
        <w:rPr>
          <w:rFonts w:ascii="Times New Roman" w:hAnsi="Times New Roman"/>
          <w:sz w:val="24"/>
          <w:szCs w:val="24"/>
          <w:lang w:val="en-US"/>
        </w:rPr>
        <w:t>multiprimer</w:t>
      </w:r>
      <w:bookmarkEnd w:id="0"/>
      <w:proofErr w:type="spellEnd"/>
      <w:r w:rsidRPr="00284B27">
        <w:rPr>
          <w:rFonts w:ascii="Times New Roman" w:hAnsi="Times New Roman"/>
          <w:sz w:val="24"/>
          <w:szCs w:val="24"/>
          <w:lang w:val="en-US"/>
        </w:rPr>
        <w:t xml:space="preserve"> allele-specific PCR method. The statistical analysis </w:t>
      </w:r>
      <w:proofErr w:type="gramStart"/>
      <w:r w:rsidRPr="00284B27">
        <w:rPr>
          <w:rFonts w:ascii="Times New Roman" w:hAnsi="Times New Roman"/>
          <w:sz w:val="24"/>
          <w:szCs w:val="24"/>
          <w:lang w:val="en-US"/>
        </w:rPr>
        <w:t>was carried</w:t>
      </w:r>
      <w:proofErr w:type="gramEnd"/>
      <w:r w:rsidRPr="00284B27">
        <w:rPr>
          <w:rFonts w:ascii="Times New Roman" w:hAnsi="Times New Roman"/>
          <w:sz w:val="24"/>
          <w:szCs w:val="24"/>
          <w:lang w:val="en-US"/>
        </w:rPr>
        <w:t xml:space="preserve"> out using the exact two-sided Fisher test. The association of the chronic adrenal insufficiency was determined by the value of the odds ratio (OR - odd's ratio), the value of 95% confidence interval (95% CI).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84B27">
        <w:rPr>
          <w:rFonts w:ascii="Times New Roman" w:hAnsi="Times New Roman"/>
          <w:b/>
          <w:sz w:val="24"/>
          <w:szCs w:val="24"/>
          <w:lang w:val="en-US"/>
        </w:rPr>
        <w:t>Results:</w:t>
      </w:r>
      <w:r w:rsidRPr="00284B27">
        <w:rPr>
          <w:rFonts w:ascii="Times New Roman" w:hAnsi="Times New Roman"/>
          <w:b/>
          <w:color w:val="212121"/>
          <w:sz w:val="24"/>
          <w:szCs w:val="24"/>
          <w:lang w:val="en-US"/>
        </w:rPr>
        <w:t xml:space="preserve">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Haplotypes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DR3-DQ2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p &lt; 0,0001;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OR = 4.06),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DR4-DQ8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p &lt; 0,0001;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OR = 5.78),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DQA1*0301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allele (p=0.000; OR = 4.27), genotype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DQA1*0301/DQA1*0501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(p=0.000; OR = 13.89), and especially genotype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DR3/DR4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(p=0.000</w:t>
      </w:r>
      <w:r w:rsidRPr="00284B27">
        <w:rPr>
          <w:sz w:val="24"/>
          <w:szCs w:val="24"/>
          <w:lang w:val="en-US"/>
        </w:rPr>
        <w:t xml:space="preserve">;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OR = 19.7)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HLA II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class genes predispose to the development of APS type 2, 3 and 4 in adults compared to the control group. 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84B27">
        <w:rPr>
          <w:rFonts w:ascii="Times New Roman" w:hAnsi="Times New Roman"/>
          <w:sz w:val="24"/>
          <w:szCs w:val="24"/>
          <w:lang w:val="en-US"/>
        </w:rPr>
        <w:t>Genotype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 xml:space="preserve"> DR3/DR4 </w:t>
      </w:r>
      <w:r w:rsidRPr="00284B27">
        <w:rPr>
          <w:rFonts w:ascii="Times New Roman" w:hAnsi="Times New Roman"/>
          <w:i/>
          <w:color w:val="222222"/>
          <w:sz w:val="24"/>
          <w:szCs w:val="24"/>
          <w:lang w:val="en"/>
        </w:rPr>
        <w:t xml:space="preserve">HLA II </w:t>
      </w:r>
      <w:r w:rsidRPr="00284B27">
        <w:rPr>
          <w:rFonts w:ascii="Times New Roman" w:hAnsi="Times New Roman"/>
          <w:color w:val="222222"/>
          <w:sz w:val="24"/>
          <w:szCs w:val="24"/>
          <w:lang w:val="en"/>
        </w:rPr>
        <w:t xml:space="preserve">genes </w:t>
      </w:r>
      <w:r w:rsidRPr="00284B27">
        <w:rPr>
          <w:rFonts w:ascii="Times New Roman" w:hAnsi="Times New Roman"/>
          <w:sz w:val="24"/>
          <w:szCs w:val="24"/>
          <w:lang w:val="en-US"/>
        </w:rPr>
        <w:t>found the strongest association with the development of adrenal insufficiency in patients with APS (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>p &lt; 0</w:t>
      </w:r>
      <w:proofErr w:type="gramStart"/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>,0001</w:t>
      </w:r>
      <w:proofErr w:type="gramEnd"/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;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OR = 4.28). It </w:t>
      </w:r>
      <w:r w:rsidRPr="00284B27">
        <w:rPr>
          <w:rFonts w:ascii="Times New Roman" w:hAnsi="Times New Roman"/>
          <w:color w:val="222222"/>
          <w:sz w:val="24"/>
          <w:szCs w:val="24"/>
          <w:lang w:val="en"/>
        </w:rPr>
        <w:t xml:space="preserve">is an 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independent risk factor of the development of APS type 2, 4 </w:t>
      </w:r>
      <w:r w:rsidRPr="00284B27">
        <w:rPr>
          <w:rFonts w:ascii="Times New Roman" w:hAnsi="Times New Roman"/>
          <w:color w:val="222222"/>
          <w:sz w:val="24"/>
          <w:szCs w:val="24"/>
          <w:lang w:val="en"/>
        </w:rPr>
        <w:t xml:space="preserve">in patients with APS type 3 and patients with one autoimmune disease - Graves' disease.  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</w:pPr>
      <w:r w:rsidRPr="00284B27">
        <w:rPr>
          <w:rFonts w:ascii="Times New Roman" w:hAnsi="Times New Roman"/>
          <w:sz w:val="24"/>
          <w:szCs w:val="24"/>
          <w:lang w:val="en-US"/>
        </w:rPr>
        <w:t xml:space="preserve">Haplotype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DRB1*01-DQA1*0101-DQB1*0501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has been determined as protective for the development of Addison’s disease. 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Frequency of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>DRB1*01-DQA1*0101-DQB1*0501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was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 significantly lower in the group of APS type 2, 4 comparing to the group of APS type 3 (р&lt;0</w:t>
      </w:r>
      <w:proofErr w:type="gramStart"/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>,01</w:t>
      </w:r>
      <w:proofErr w:type="gramEnd"/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>; OR=0.0769), Graves’ disease (</w:t>
      </w:r>
      <w:r w:rsidRPr="00284B27">
        <w:rPr>
          <w:rFonts w:ascii="Times New Roman" w:hAnsi="Times New Roman"/>
          <w:color w:val="222222"/>
          <w:sz w:val="24"/>
          <w:szCs w:val="24"/>
          <w:lang w:val="en"/>
        </w:rPr>
        <w:t xml:space="preserve">p &lt;0.05; OR=0.095) 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and the control group (р&lt;0,01; OR=0.1138) 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4"/>
          <w:szCs w:val="24"/>
          <w:lang w:val="en"/>
        </w:rPr>
      </w:pPr>
      <w:r w:rsidRPr="00284B27">
        <w:rPr>
          <w:rFonts w:ascii="Times New Roman" w:hAnsi="Times New Roman"/>
          <w:color w:val="222222"/>
          <w:sz w:val="24"/>
          <w:szCs w:val="24"/>
          <w:lang w:val="en"/>
        </w:rPr>
        <w:t xml:space="preserve">There were no significant differences in the frequency of occurrence of the haplotype - </w:t>
      </w:r>
      <w:r w:rsidRPr="00284B27">
        <w:rPr>
          <w:rFonts w:ascii="Times New Roman" w:hAnsi="Times New Roman"/>
          <w:i/>
          <w:color w:val="212121"/>
          <w:sz w:val="24"/>
          <w:szCs w:val="24"/>
          <w:shd w:val="clear" w:color="auto" w:fill="FFFFFF"/>
          <w:lang w:val="en-US"/>
        </w:rPr>
        <w:t>DRB1*01-DQA1*0101-DQB1*0501</w:t>
      </w:r>
      <w:r w:rsidRPr="00284B27">
        <w:rPr>
          <w:rFonts w:ascii="Times New Roman" w:hAnsi="Times New Roman"/>
          <w:color w:val="212121"/>
          <w:sz w:val="24"/>
          <w:szCs w:val="24"/>
          <w:shd w:val="clear" w:color="auto" w:fill="FFFFFF"/>
          <w:lang w:val="en-US"/>
        </w:rPr>
        <w:t xml:space="preserve"> -</w:t>
      </w:r>
      <w:r w:rsidRPr="00284B27">
        <w:rPr>
          <w:rFonts w:ascii="Times New Roman" w:hAnsi="Times New Roman"/>
          <w:color w:val="222222"/>
          <w:sz w:val="24"/>
          <w:szCs w:val="24"/>
          <w:lang w:val="en"/>
        </w:rPr>
        <w:t xml:space="preserve"> in the type 3 APS groups, in patients with Graves' disease and in the control group. 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position w:val="8"/>
          <w:sz w:val="24"/>
          <w:szCs w:val="24"/>
          <w:lang w:val="en-US"/>
        </w:rPr>
      </w:pPr>
      <w:r w:rsidRPr="00284B27">
        <w:rPr>
          <w:rFonts w:ascii="Times New Roman" w:hAnsi="Times New Roman"/>
          <w:position w:val="8"/>
          <w:sz w:val="24"/>
          <w:szCs w:val="24"/>
          <w:lang w:val="en-US"/>
        </w:rPr>
        <w:t xml:space="preserve">Gene polymorphisms </w:t>
      </w:r>
      <w:r w:rsidRPr="00284B27">
        <w:rPr>
          <w:rFonts w:ascii="Times New Roman" w:hAnsi="Times New Roman"/>
          <w:i/>
          <w:position w:val="8"/>
          <w:sz w:val="24"/>
          <w:szCs w:val="24"/>
          <w:lang w:val="en-US"/>
        </w:rPr>
        <w:t>CTLA-4+ 49A/G (rs231775)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284B27">
        <w:rPr>
          <w:rFonts w:ascii="Times New Roman" w:hAnsi="Times New Roman"/>
          <w:position w:val="8"/>
          <w:sz w:val="24"/>
          <w:szCs w:val="24"/>
          <w:lang w:val="en-US"/>
        </w:rPr>
        <w:t>and</w:t>
      </w:r>
      <w:r w:rsidRPr="00284B27">
        <w:rPr>
          <w:rFonts w:ascii="Times New Roman" w:hAnsi="Times New Roman"/>
          <w:i/>
          <w:position w:val="8"/>
          <w:sz w:val="24"/>
          <w:szCs w:val="24"/>
          <w:lang w:val="en-US"/>
        </w:rPr>
        <w:t xml:space="preserve"> PTPN22 +1858C&gt; T (rs2476601) </w:t>
      </w:r>
      <w:r w:rsidRPr="00284B27">
        <w:rPr>
          <w:rFonts w:ascii="Times New Roman" w:hAnsi="Times New Roman"/>
          <w:position w:val="8"/>
          <w:sz w:val="24"/>
          <w:szCs w:val="24"/>
          <w:lang w:val="en-US"/>
        </w:rPr>
        <w:t>are predisposing to the development of APS 2, 3 types compared with the group of Graves' disease patients and the control group</w:t>
      </w:r>
    </w:p>
    <w:p w:rsidR="00B623F8" w:rsidRPr="00284B27" w:rsidRDefault="00B623F8" w:rsidP="00B623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84B2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A significant association between APS type 2, 3 and carriage of the </w:t>
      </w:r>
      <w:r w:rsidRPr="00284B27">
        <w:rPr>
          <w:rFonts w:ascii="Times New Roman" w:hAnsi="Times New Roman"/>
          <w:i/>
          <w:sz w:val="24"/>
          <w:szCs w:val="24"/>
          <w:lang w:val="en-US"/>
        </w:rPr>
        <w:t xml:space="preserve">CTLA-4 +49 A/G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genotype (p &lt; 0.01; OR 2.63) and </w:t>
      </w:r>
      <w:r w:rsidRPr="00284B27">
        <w:rPr>
          <w:rStyle w:val="a4"/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PTPN22</w:t>
      </w:r>
      <w:r w:rsidRPr="00284B2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 +1858 CT genotype </w:t>
      </w:r>
      <w:r w:rsidRPr="00284B27">
        <w:rPr>
          <w:rFonts w:ascii="Times New Roman" w:hAnsi="Times New Roman"/>
          <w:sz w:val="24"/>
          <w:szCs w:val="24"/>
          <w:lang w:val="en-US"/>
        </w:rPr>
        <w:t>(p&lt; 0.05; OR 3,96)</w:t>
      </w:r>
      <w:r w:rsidRPr="00284B2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284B2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was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  confirmed </w:t>
      </w:r>
    </w:p>
    <w:p w:rsidR="00E81E02" w:rsidRPr="00284B27" w:rsidRDefault="00B623F8" w:rsidP="00E81E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84B27">
        <w:rPr>
          <w:rFonts w:ascii="Times New Roman" w:hAnsi="Times New Roman"/>
          <w:b/>
          <w:sz w:val="24"/>
          <w:szCs w:val="24"/>
          <w:lang w:val="en-US"/>
        </w:rPr>
        <w:t>Conclusion:</w:t>
      </w:r>
      <w:r w:rsidRPr="00284B27">
        <w:rPr>
          <w:rFonts w:ascii="Times New Roman" w:hAnsi="Times New Roman"/>
          <w:b/>
          <w:color w:val="212121"/>
          <w:sz w:val="24"/>
          <w:szCs w:val="24"/>
          <w:lang w:val="en-US"/>
        </w:rPr>
        <w:t xml:space="preserve"> </w:t>
      </w:r>
      <w:r w:rsidRPr="00284B27">
        <w:rPr>
          <w:rFonts w:ascii="Times New Roman" w:hAnsi="Times New Roman"/>
          <w:color w:val="212121"/>
          <w:sz w:val="24"/>
          <w:szCs w:val="24"/>
          <w:lang w:val="en-US"/>
        </w:rPr>
        <w:t>The revealing of</w:t>
      </w:r>
      <w:r w:rsidRPr="00284B27">
        <w:rPr>
          <w:rFonts w:ascii="Times New Roman" w:hAnsi="Times New Roman"/>
          <w:b/>
          <w:color w:val="212121"/>
          <w:sz w:val="24"/>
          <w:szCs w:val="24"/>
          <w:lang w:val="en-US"/>
        </w:rPr>
        <w:t xml:space="preserve"> </w:t>
      </w:r>
      <w:r w:rsidRPr="00284B27">
        <w:rPr>
          <w:rFonts w:ascii="Times New Roman" w:hAnsi="Times New Roman"/>
          <w:color w:val="212121"/>
          <w:sz w:val="24"/>
          <w:szCs w:val="24"/>
          <w:lang w:val="en-US"/>
        </w:rPr>
        <w:t>predisposing and</w:t>
      </w:r>
      <w:r w:rsidRPr="00284B27">
        <w:rPr>
          <w:rFonts w:ascii="Times New Roman" w:hAnsi="Times New Roman"/>
          <w:b/>
          <w:color w:val="212121"/>
          <w:sz w:val="24"/>
          <w:szCs w:val="24"/>
          <w:lang w:val="en-US"/>
        </w:rPr>
        <w:t xml:space="preserve">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protective genes to Addison’s disease in patients with APS type 3 and </w:t>
      </w:r>
      <w:r w:rsidRPr="00284B27">
        <w:rPr>
          <w:rFonts w:ascii="Times New Roman" w:hAnsi="Times New Roman"/>
          <w:color w:val="000000"/>
          <w:sz w:val="24"/>
          <w:szCs w:val="24"/>
          <w:lang w:val="en-US"/>
        </w:rPr>
        <w:t xml:space="preserve">Graves’ disease </w:t>
      </w:r>
      <w:r w:rsidRPr="00284B27">
        <w:rPr>
          <w:rFonts w:ascii="Times New Roman" w:hAnsi="Times New Roman"/>
          <w:sz w:val="24"/>
          <w:szCs w:val="24"/>
          <w:lang w:val="en-US"/>
        </w:rPr>
        <w:t xml:space="preserve">will allow better predicting the risks of developing of the chronic adrenal insufficiency </w:t>
      </w:r>
      <w:r w:rsidR="00E81E02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AC390A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AC390A" w:rsidRPr="00284B27">
        <w:rPr>
          <w:rFonts w:ascii="Times New Roman" w:hAnsi="Times New Roman"/>
          <w:sz w:val="24"/>
          <w:szCs w:val="24"/>
          <w:lang w:val="en-US"/>
        </w:rPr>
        <w:t xml:space="preserve">sudden onset </w:t>
      </w:r>
      <w:r w:rsidR="00AC390A">
        <w:rPr>
          <w:rFonts w:ascii="Times New Roman" w:hAnsi="Times New Roman"/>
          <w:sz w:val="24"/>
          <w:szCs w:val="24"/>
          <w:lang w:val="en-US"/>
        </w:rPr>
        <w:t xml:space="preserve">of potential </w:t>
      </w:r>
      <w:r w:rsidR="00AC390A" w:rsidRPr="00AC390A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life-threatening</w:t>
      </w:r>
      <w:r w:rsidR="00AC390A">
        <w:rPr>
          <w:rFonts w:ascii="Arial" w:hAnsi="Arial" w:cs="Arial"/>
          <w:color w:val="222222"/>
          <w:sz w:val="21"/>
          <w:szCs w:val="21"/>
          <w:shd w:val="clear" w:color="auto" w:fill="FFFFFF"/>
          <w:lang w:val="en-US"/>
        </w:rPr>
        <w:t xml:space="preserve"> </w:t>
      </w:r>
      <w:r w:rsidR="00E81E02" w:rsidRPr="00284B27">
        <w:rPr>
          <w:rFonts w:ascii="Times New Roman" w:hAnsi="Times New Roman"/>
          <w:sz w:val="24"/>
          <w:szCs w:val="24"/>
          <w:lang w:val="en-US"/>
        </w:rPr>
        <w:t>complications (adrenal crisis)</w:t>
      </w:r>
      <w:r w:rsidR="00E81E0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84B27">
        <w:rPr>
          <w:rFonts w:ascii="Times New Roman" w:hAnsi="Times New Roman"/>
          <w:sz w:val="24"/>
          <w:szCs w:val="24"/>
          <w:lang w:val="en-US"/>
        </w:rPr>
        <w:t>within the syndrome</w:t>
      </w:r>
      <w:r w:rsidR="00AC390A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3112DD" w:rsidRPr="00284B27" w:rsidRDefault="003112DD">
      <w:pPr>
        <w:rPr>
          <w:sz w:val="24"/>
          <w:szCs w:val="24"/>
          <w:lang w:val="en-US"/>
        </w:rPr>
      </w:pPr>
    </w:p>
    <w:sectPr w:rsidR="003112DD" w:rsidRPr="00284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9E"/>
    <w:rsid w:val="00284B27"/>
    <w:rsid w:val="003112DD"/>
    <w:rsid w:val="0091399E"/>
    <w:rsid w:val="00AC390A"/>
    <w:rsid w:val="00B623F8"/>
    <w:rsid w:val="00D24080"/>
    <w:rsid w:val="00E8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3FAA"/>
  <w15:chartTrackingRefBased/>
  <w15:docId w15:val="{B2F319E2-C319-459C-8FB7-1FE7CDA3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3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623F8"/>
    <w:rPr>
      <w:color w:val="0000FF"/>
      <w:u w:val="single"/>
    </w:rPr>
  </w:style>
  <w:style w:type="character" w:styleId="a4">
    <w:name w:val="Emphasis"/>
    <w:basedOn w:val="a0"/>
    <w:uiPriority w:val="20"/>
    <w:qFormat/>
    <w:rsid w:val="00B623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2020-01-16T10:42:00Z</dcterms:created>
  <dcterms:modified xsi:type="dcterms:W3CDTF">2020-01-16T10:56:00Z</dcterms:modified>
</cp:coreProperties>
</file>