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408" w:rsidRPr="00D20408" w:rsidRDefault="00D20408" w:rsidP="00D20408">
      <w:pPr>
        <w:pStyle w:val="Heading3"/>
        <w:spacing w:before="147"/>
        <w:rPr>
          <w:sz w:val="40"/>
          <w:szCs w:val="40"/>
          <w:u w:val="single"/>
        </w:rPr>
      </w:pPr>
      <w:r w:rsidRPr="00D20408">
        <w:rPr>
          <w:color w:val="BF5A14"/>
          <w:sz w:val="40"/>
          <w:szCs w:val="40"/>
          <w:u w:val="single"/>
        </w:rPr>
        <w:t>Abstract</w:t>
      </w:r>
    </w:p>
    <w:p w:rsidR="00D20408" w:rsidRDefault="00D20408" w:rsidP="00D20408">
      <w:pPr>
        <w:pStyle w:val="Heading3"/>
        <w:spacing w:before="74"/>
        <w:rPr>
          <w:b w:val="0"/>
          <w:sz w:val="16"/>
        </w:rPr>
      </w:pPr>
      <w:r w:rsidRPr="00D37E6A">
        <w:rPr>
          <w:rFonts w:ascii="Tw Cen MT" w:eastAsia="Tw Cen MT" w:hAnsi="Tw Cen MT" w:cs="Tw Cen MT"/>
          <w:b w:val="0"/>
          <w:bCs w:val="0"/>
          <w:sz w:val="40"/>
          <w:szCs w:val="40"/>
        </w:rPr>
        <w:tab/>
      </w:r>
      <w:r>
        <w:rPr>
          <w:b w:val="0"/>
          <w:sz w:val="16"/>
        </w:rPr>
        <w:t xml:space="preserve"> </w:t>
      </w:r>
    </w:p>
    <w:p w:rsidR="00D37E6A" w:rsidRDefault="00D37E6A" w:rsidP="0081499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Is it time to redefine diabetes? </w:t>
      </w:r>
      <w:r w:rsidR="00936C1C">
        <w:rPr>
          <w:color w:val="337AB7"/>
        </w:rPr>
        <w:t xml:space="preserve"> The </w:t>
      </w:r>
      <w:r>
        <w:rPr>
          <w:color w:val="337AB7"/>
        </w:rPr>
        <w:t>Prediabetes controversy</w:t>
      </w:r>
    </w:p>
    <w:p w:rsidR="00814990" w:rsidRDefault="00D20408" w:rsidP="00814990">
      <w:pPr>
        <w:pStyle w:val="Heading1"/>
        <w:spacing w:before="170"/>
        <w:ind w:left="0"/>
        <w:rPr>
          <w:b w:val="0"/>
          <w:bCs w:val="0"/>
          <w:color w:val="337AB7"/>
          <w:sz w:val="28"/>
          <w:szCs w:val="28"/>
        </w:rPr>
      </w:pPr>
      <w:r>
        <w:rPr>
          <w:b w:val="0"/>
          <w:bCs w:val="0"/>
          <w:color w:val="337AB7"/>
          <w:sz w:val="28"/>
          <w:szCs w:val="28"/>
        </w:rPr>
        <w:t xml:space="preserve">Alaaeldin Y.T. </w:t>
      </w:r>
      <w:r w:rsidR="008065B3">
        <w:rPr>
          <w:b w:val="0"/>
          <w:bCs w:val="0"/>
          <w:color w:val="337AB7"/>
          <w:sz w:val="28"/>
          <w:szCs w:val="28"/>
        </w:rPr>
        <w:t>Alhessi, M</w:t>
      </w:r>
      <w:r>
        <w:rPr>
          <w:b w:val="0"/>
          <w:bCs w:val="0"/>
          <w:color w:val="337AB7"/>
          <w:sz w:val="28"/>
          <w:szCs w:val="28"/>
        </w:rPr>
        <w:t>.D</w:t>
      </w:r>
    </w:p>
    <w:p w:rsidR="00D20408" w:rsidRDefault="00D20408" w:rsidP="00814990">
      <w:pPr>
        <w:pStyle w:val="Heading1"/>
        <w:spacing w:before="170"/>
        <w:ind w:left="0"/>
        <w:rPr>
          <w:b w:val="0"/>
          <w:bCs w:val="0"/>
          <w:color w:val="337AB7"/>
          <w:sz w:val="28"/>
          <w:szCs w:val="28"/>
        </w:rPr>
      </w:pPr>
      <w:r>
        <w:rPr>
          <w:b w:val="0"/>
          <w:bCs w:val="0"/>
          <w:color w:val="337AB7"/>
          <w:sz w:val="28"/>
          <w:szCs w:val="28"/>
        </w:rPr>
        <w:t xml:space="preserve">Emirates hospital group, </w:t>
      </w:r>
      <w:r w:rsidR="008065B3">
        <w:rPr>
          <w:b w:val="0"/>
          <w:bCs w:val="0"/>
          <w:color w:val="337AB7"/>
          <w:sz w:val="28"/>
          <w:szCs w:val="28"/>
        </w:rPr>
        <w:t>Dubai, UAE</w:t>
      </w:r>
    </w:p>
    <w:p w:rsidR="00814990" w:rsidRPr="00814990" w:rsidRDefault="00814990" w:rsidP="00814990">
      <w:pPr>
        <w:pStyle w:val="Heading1"/>
        <w:spacing w:before="170"/>
        <w:ind w:left="0"/>
        <w:rPr>
          <w:b w:val="0"/>
          <w:bCs w:val="0"/>
          <w:color w:val="337AB7"/>
          <w:sz w:val="28"/>
          <w:szCs w:val="28"/>
        </w:rPr>
      </w:pPr>
    </w:p>
    <w:p w:rsidR="00AE3E37" w:rsidRDefault="00596F80">
      <w:pPr>
        <w:pStyle w:val="BodyText"/>
        <w:rPr>
          <w:rFonts w:ascii="Arial"/>
        </w:rPr>
      </w:pPr>
      <w:r>
        <w:rPr>
          <w:rFonts w:ascii="Arial"/>
        </w:rPr>
        <w:t xml:space="preserve"> </w:t>
      </w:r>
      <w:r w:rsidR="00814990">
        <w:rPr>
          <w:rFonts w:ascii="Arial"/>
        </w:rPr>
        <w:tab/>
        <w:t>Type 2 Diabetes mellitus (T2DM) is one of the major known health hazards that causes increasing morbidity, mortality, and poor quality of life as well as increasing healthcare expenditure. Emirates</w:t>
      </w:r>
      <w:r w:rsidR="00D37E6A">
        <w:rPr>
          <w:rFonts w:ascii="Arial"/>
        </w:rPr>
        <w:t xml:space="preserve"> hospital group, UAE</w:t>
      </w:r>
      <w:r w:rsidR="00814990">
        <w:rPr>
          <w:rFonts w:ascii="Arial"/>
        </w:rPr>
        <w:t>.</w:t>
      </w:r>
    </w:p>
    <w:p w:rsidR="00D66220" w:rsidRDefault="00D66220">
      <w:pPr>
        <w:pStyle w:val="BodyText"/>
        <w:rPr>
          <w:rFonts w:ascii="Arial"/>
        </w:rPr>
      </w:pPr>
    </w:p>
    <w:p w:rsidR="00814990" w:rsidRDefault="00814990" w:rsidP="00D66220">
      <w:pPr>
        <w:pStyle w:val="BodyText"/>
        <w:ind w:firstLine="720"/>
        <w:rPr>
          <w:rFonts w:ascii="Arial"/>
          <w:sz w:val="20"/>
        </w:rPr>
      </w:pPr>
      <w:r>
        <w:rPr>
          <w:rFonts w:ascii="Arial"/>
          <w:sz w:val="20"/>
        </w:rPr>
        <w:t xml:space="preserve">Diagnostic thresholds to define T2DM was laid by different international, regional, and local organizations utilizing the fasting plasma glucose (FPG), two hours plasma glucose (2-H PG) during a 75 G oral glucose tolerance test (OGTT), or glycated hemoglobin (HbA1c). Variations among different defining bodies remain minimal and there is a clear link to the threshold levels utilized to an adverse clinical outcome. </w:t>
      </w:r>
    </w:p>
    <w:p w:rsidR="00950E78" w:rsidRDefault="00950E78">
      <w:pPr>
        <w:pStyle w:val="BodyText"/>
        <w:rPr>
          <w:rFonts w:ascii="Arial"/>
          <w:sz w:val="20"/>
        </w:rPr>
      </w:pPr>
    </w:p>
    <w:p w:rsidR="004D0DFD" w:rsidRDefault="004D0DFD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ab/>
        <w:t xml:space="preserve">Among the recognized risk factors for developing T2DM is a state of dysglycemia that does not yet meet the defining thresholds for T2DM. This is known as </w:t>
      </w:r>
      <w:r w:rsidR="00D20408">
        <w:rPr>
          <w:rFonts w:ascii="Arial"/>
          <w:sz w:val="20"/>
        </w:rPr>
        <w:t>prediabetes. Prediabetes</w:t>
      </w:r>
      <w:r>
        <w:rPr>
          <w:rFonts w:ascii="Arial"/>
          <w:sz w:val="20"/>
        </w:rPr>
        <w:t xml:space="preserve"> state </w:t>
      </w:r>
      <w:r w:rsidR="00D66220">
        <w:rPr>
          <w:rFonts w:ascii="Arial"/>
          <w:sz w:val="20"/>
        </w:rPr>
        <w:t>does</w:t>
      </w:r>
      <w:r>
        <w:rPr>
          <w:rFonts w:ascii="Arial"/>
          <w:sz w:val="20"/>
        </w:rPr>
        <w:t xml:space="preserve"> not only increas</w:t>
      </w:r>
      <w:r w:rsidR="00D66220">
        <w:rPr>
          <w:rFonts w:ascii="Arial"/>
          <w:sz w:val="20"/>
        </w:rPr>
        <w:t>e</w:t>
      </w:r>
      <w:r>
        <w:rPr>
          <w:rFonts w:ascii="Arial"/>
          <w:sz w:val="20"/>
        </w:rPr>
        <w:t xml:space="preserve"> the risk of transform</w:t>
      </w:r>
      <w:r w:rsidR="00D66220">
        <w:rPr>
          <w:rFonts w:ascii="Arial"/>
          <w:sz w:val="20"/>
        </w:rPr>
        <w:t>ation</w:t>
      </w:r>
      <w:r>
        <w:rPr>
          <w:rFonts w:ascii="Arial"/>
          <w:sz w:val="20"/>
        </w:rPr>
        <w:t xml:space="preserve"> into a full blown </w:t>
      </w:r>
      <w:r w:rsidR="00D20408">
        <w:rPr>
          <w:rFonts w:ascii="Arial"/>
          <w:sz w:val="20"/>
        </w:rPr>
        <w:t>T2DM but</w:t>
      </w:r>
      <w:r>
        <w:rPr>
          <w:rFonts w:ascii="Arial"/>
          <w:sz w:val="20"/>
        </w:rPr>
        <w:t xml:space="preserve"> </w:t>
      </w:r>
      <w:r w:rsidR="00D66220">
        <w:rPr>
          <w:rFonts w:ascii="Arial"/>
          <w:sz w:val="20"/>
        </w:rPr>
        <w:t>also</w:t>
      </w:r>
      <w:r>
        <w:rPr>
          <w:rFonts w:ascii="Arial"/>
          <w:sz w:val="20"/>
        </w:rPr>
        <w:t xml:space="preserve"> thought to be associated with different T2DM microvascular and macrovascular complications.</w:t>
      </w:r>
    </w:p>
    <w:p w:rsidR="004D0DFD" w:rsidRDefault="004D0DFD">
      <w:pPr>
        <w:pStyle w:val="BodyText"/>
        <w:rPr>
          <w:rFonts w:ascii="Arial"/>
          <w:sz w:val="20"/>
        </w:rPr>
      </w:pPr>
    </w:p>
    <w:p w:rsidR="004D0DFD" w:rsidRDefault="004D0DFD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ab/>
        <w:t>We hereby suggest redefining T2</w:t>
      </w:r>
      <w:r w:rsidR="00D20408">
        <w:rPr>
          <w:rFonts w:ascii="Arial"/>
          <w:sz w:val="20"/>
        </w:rPr>
        <w:t>DM diagnostic</w:t>
      </w:r>
      <w:r>
        <w:rPr>
          <w:rFonts w:ascii="Arial"/>
          <w:sz w:val="20"/>
        </w:rPr>
        <w:t xml:space="preserve"> threshold values to include what is currently defined as prediabetes, especially when it is associated with </w:t>
      </w:r>
      <w:r w:rsidR="00D20408">
        <w:rPr>
          <w:rFonts w:ascii="Arial"/>
          <w:sz w:val="20"/>
        </w:rPr>
        <w:t>other known</w:t>
      </w:r>
      <w:r>
        <w:rPr>
          <w:rFonts w:ascii="Arial"/>
          <w:sz w:val="20"/>
        </w:rPr>
        <w:t xml:space="preserve"> risk factors for developing T2</w:t>
      </w:r>
      <w:r w:rsidR="00D20408">
        <w:rPr>
          <w:rFonts w:ascii="Arial"/>
          <w:sz w:val="20"/>
        </w:rPr>
        <w:t>DM:</w:t>
      </w:r>
      <w:r>
        <w:rPr>
          <w:rFonts w:ascii="Arial"/>
          <w:sz w:val="20"/>
        </w:rPr>
        <w:t xml:space="preserve"> visceral obesity, diabetic pattern dyslipidemia, metabolic syndrome, or polycystic ovary syndrome (PCOS).</w:t>
      </w:r>
    </w:p>
    <w:p w:rsidR="004D0DFD" w:rsidRDefault="004D0DFD">
      <w:pPr>
        <w:pStyle w:val="BodyText"/>
        <w:rPr>
          <w:rFonts w:ascii="Arial"/>
          <w:sz w:val="20"/>
        </w:rPr>
      </w:pPr>
    </w:p>
    <w:p w:rsidR="004D0DFD" w:rsidRDefault="004D0DFD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ab/>
        <w:t>We believe that prediabetes, in such conditions</w:t>
      </w:r>
      <w:r w:rsidR="00D66220">
        <w:rPr>
          <w:rFonts w:ascii="Arial"/>
          <w:sz w:val="20"/>
        </w:rPr>
        <w:t>,</w:t>
      </w:r>
      <w:r>
        <w:rPr>
          <w:rFonts w:ascii="Arial"/>
          <w:sz w:val="20"/>
        </w:rPr>
        <w:t xml:space="preserve"> is</w:t>
      </w:r>
      <w:r w:rsidR="00D20408">
        <w:rPr>
          <w:rFonts w:ascii="Arial"/>
          <w:sz w:val="20"/>
        </w:rPr>
        <w:t xml:space="preserve"> indeed T2DM, and not a precursor of which, </w:t>
      </w:r>
      <w:r w:rsidR="00D66220">
        <w:rPr>
          <w:rFonts w:ascii="Arial"/>
          <w:sz w:val="20"/>
        </w:rPr>
        <w:t>yet</w:t>
      </w:r>
      <w:r w:rsidR="00D20408">
        <w:rPr>
          <w:rFonts w:ascii="Arial"/>
          <w:sz w:val="20"/>
        </w:rPr>
        <w:t xml:space="preserve"> in a subclinical/ latent stage as per our current defining thresholds.</w:t>
      </w:r>
    </w:p>
    <w:p w:rsidR="00D20408" w:rsidRDefault="00D20408">
      <w:pPr>
        <w:pStyle w:val="BodyText"/>
        <w:rPr>
          <w:rFonts w:ascii="Arial"/>
          <w:sz w:val="20"/>
        </w:rPr>
      </w:pPr>
    </w:p>
    <w:p w:rsidR="00D20408" w:rsidRDefault="00D20408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ab/>
        <w:t xml:space="preserve">With the </w:t>
      </w:r>
      <w:r w:rsidR="00D66220">
        <w:rPr>
          <w:rFonts w:ascii="Arial"/>
          <w:sz w:val="20"/>
        </w:rPr>
        <w:t>recent</w:t>
      </w:r>
      <w:r>
        <w:rPr>
          <w:rFonts w:ascii="Arial"/>
          <w:sz w:val="20"/>
        </w:rPr>
        <w:t xml:space="preserve"> advancement in treating T2DM aiming at preventing its complications as opposed to the previous glucocentric management, we believe that re</w:t>
      </w:r>
      <w:r w:rsidR="00D66220">
        <w:rPr>
          <w:rFonts w:ascii="Arial"/>
          <w:sz w:val="20"/>
        </w:rPr>
        <w:t>defining</w:t>
      </w:r>
      <w:r>
        <w:rPr>
          <w:rFonts w:ascii="Arial"/>
          <w:sz w:val="20"/>
        </w:rPr>
        <w:t xml:space="preserve"> T2DM at a lower threshold is clinically warranted as a</w:t>
      </w:r>
      <w:r w:rsidR="00D66220">
        <w:rPr>
          <w:rFonts w:ascii="Arial"/>
          <w:sz w:val="20"/>
        </w:rPr>
        <w:t xml:space="preserve"> </w:t>
      </w:r>
      <w:r>
        <w:rPr>
          <w:rFonts w:ascii="Arial"/>
          <w:sz w:val="20"/>
        </w:rPr>
        <w:t>priority.</w:t>
      </w:r>
    </w:p>
    <w:p w:rsidR="00814990" w:rsidRDefault="00814990">
      <w:pPr>
        <w:pStyle w:val="BodyText"/>
        <w:rPr>
          <w:rFonts w:ascii="Arial"/>
          <w:sz w:val="20"/>
        </w:rPr>
      </w:pPr>
    </w:p>
    <w:p w:rsidR="00AE3E37" w:rsidRPr="00D20408" w:rsidRDefault="00AE3E37" w:rsidP="00D20408">
      <w:pPr>
        <w:pStyle w:val="BodyText"/>
        <w:rPr>
          <w:rFonts w:ascii="Arial"/>
          <w:sz w:val="20"/>
        </w:rPr>
        <w:sectPr w:rsidR="00AE3E37" w:rsidRPr="00D2040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8756E6" w:rsidRDefault="005973B9" w:rsidP="00596F80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D20408" w:rsidRDefault="00D20408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4A56C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D20408" w:rsidRDefault="00D20408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AE3E37" w:rsidRDefault="00A9710C" w:rsidP="00D20408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  <w:r w:rsidRPr="00936C1C">
        <w:rPr>
          <w:rFonts w:ascii="Arial"/>
          <w:b/>
          <w:bCs/>
          <w:color w:val="BF5A14"/>
          <w:sz w:val="32"/>
          <w:szCs w:val="32"/>
          <w:u w:val="single"/>
        </w:rPr>
        <w:t>Biography</w:t>
      </w:r>
      <w:r w:rsidR="00404E5B" w:rsidRPr="00936C1C">
        <w:rPr>
          <w:rFonts w:ascii="Arial"/>
          <w:b/>
          <w:bCs/>
          <w:color w:val="BF5A14"/>
          <w:sz w:val="32"/>
          <w:szCs w:val="32"/>
          <w:u w:val="single"/>
        </w:rPr>
        <w:t xml:space="preserve"> </w:t>
      </w:r>
    </w:p>
    <w:p w:rsidR="00DD74FE" w:rsidRDefault="00DD74FE" w:rsidP="00936C1C">
      <w:pPr>
        <w:spacing w:before="92"/>
        <w:ind w:right="4234"/>
        <w:jc w:val="both"/>
        <w:rPr>
          <w:rFonts w:ascii="Arial"/>
          <w:b/>
          <w:bCs/>
          <w:color w:val="BF5A14"/>
          <w:sz w:val="32"/>
          <w:szCs w:val="32"/>
          <w:u w:val="single"/>
        </w:rPr>
      </w:pPr>
    </w:p>
    <w:p w:rsidR="002B284E" w:rsidRDefault="00163FEB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4387850</wp:posOffset>
            </wp:positionH>
            <wp:positionV relativeFrom="paragraph">
              <wp:posOffset>62865</wp:posOffset>
            </wp:positionV>
            <wp:extent cx="2190750" cy="2190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aaEldin-Alhessi-230x23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284E">
        <w:rPr>
          <w:rFonts w:ascii="Arial"/>
        </w:rPr>
        <w:t xml:space="preserve">Alaaeldin Y. T. </w:t>
      </w:r>
      <w:r w:rsidR="00936C1C">
        <w:rPr>
          <w:rFonts w:ascii="Arial"/>
        </w:rPr>
        <w:t>Alhessi is</w:t>
      </w:r>
      <w:r w:rsidR="002B284E">
        <w:rPr>
          <w:rFonts w:ascii="Arial"/>
        </w:rPr>
        <w:t xml:space="preserve"> a </w:t>
      </w:r>
      <w:r w:rsidR="00936C1C">
        <w:rPr>
          <w:rFonts w:ascii="Arial"/>
        </w:rPr>
        <w:t>consultant</w:t>
      </w:r>
      <w:r w:rsidR="002B284E">
        <w:rPr>
          <w:rFonts w:ascii="Arial"/>
        </w:rPr>
        <w:t xml:space="preserve"> and </w:t>
      </w:r>
      <w:r>
        <w:rPr>
          <w:rFonts w:ascii="Arial"/>
        </w:rPr>
        <w:t xml:space="preserve">the </w:t>
      </w:r>
      <w:r w:rsidR="002B284E">
        <w:rPr>
          <w:rFonts w:ascii="Arial"/>
        </w:rPr>
        <w:t xml:space="preserve">head of Internal medicine </w:t>
      </w:r>
      <w:r>
        <w:rPr>
          <w:rFonts w:ascii="Arial"/>
        </w:rPr>
        <w:t xml:space="preserve">department </w:t>
      </w:r>
      <w:r w:rsidR="002B284E">
        <w:rPr>
          <w:rFonts w:ascii="Arial"/>
        </w:rPr>
        <w:t>in Emirates hospital, Dubai, UAE</w:t>
      </w:r>
      <w:r w:rsidR="00936C1C">
        <w:rPr>
          <w:rFonts w:ascii="Arial"/>
        </w:rPr>
        <w:t>.</w:t>
      </w:r>
    </w:p>
    <w:p w:rsidR="00936C1C" w:rsidRDefault="00936C1C" w:rsidP="00404E5B">
      <w:pPr>
        <w:spacing w:before="92"/>
        <w:ind w:right="4234"/>
        <w:rPr>
          <w:rFonts w:ascii="Arial"/>
        </w:rPr>
      </w:pPr>
    </w:p>
    <w:p w:rsidR="002B284E" w:rsidRDefault="002B284E" w:rsidP="00404E5B">
      <w:pPr>
        <w:spacing w:before="92"/>
        <w:ind w:right="4234"/>
        <w:rPr>
          <w:rFonts w:ascii="Arial"/>
        </w:rPr>
      </w:pPr>
      <w:r>
        <w:rPr>
          <w:rFonts w:ascii="Arial"/>
        </w:rPr>
        <w:t>Dr. Alhessi was born in Cairo, Egypt where he</w:t>
      </w:r>
      <w:r w:rsidR="00936C1C">
        <w:rPr>
          <w:rFonts w:ascii="Arial"/>
        </w:rPr>
        <w:t xml:space="preserve"> graduated from </w:t>
      </w:r>
      <w:proofErr w:type="spellStart"/>
      <w:r w:rsidR="00936C1C">
        <w:rPr>
          <w:rFonts w:ascii="Arial"/>
        </w:rPr>
        <w:t>Kasr</w:t>
      </w:r>
      <w:proofErr w:type="spellEnd"/>
      <w:r w:rsidR="00936C1C">
        <w:rPr>
          <w:rFonts w:ascii="Arial"/>
        </w:rPr>
        <w:t xml:space="preserve"> Al Eni school of Medicine of Cairo university in 1994. He practi</w:t>
      </w:r>
      <w:r w:rsidR="00163FEB">
        <w:rPr>
          <w:rFonts w:ascii="Arial"/>
        </w:rPr>
        <w:t>c</w:t>
      </w:r>
      <w:r w:rsidR="00936C1C">
        <w:rPr>
          <w:rFonts w:ascii="Arial"/>
        </w:rPr>
        <w:t>ed medicine in Egypt until 2000 when he moved to USA.</w:t>
      </w:r>
    </w:p>
    <w:p w:rsidR="00936C1C" w:rsidRDefault="00936C1C" w:rsidP="00404E5B">
      <w:pPr>
        <w:spacing w:before="92"/>
        <w:ind w:right="4234"/>
        <w:rPr>
          <w:rFonts w:ascii="Arial"/>
        </w:rPr>
      </w:pPr>
    </w:p>
    <w:p w:rsidR="00936C1C" w:rsidRDefault="00936C1C" w:rsidP="00936C1C">
      <w:pPr>
        <w:spacing w:before="92"/>
        <w:ind w:right="4234"/>
        <w:rPr>
          <w:rFonts w:ascii="Arial"/>
        </w:rPr>
      </w:pPr>
      <w:r>
        <w:rPr>
          <w:rFonts w:ascii="Arial"/>
        </w:rPr>
        <w:t xml:space="preserve">He was awarded as a diplomate of the American board in Internal Medicine in 2003, and he is still maintaining the degree. 2004, </w:t>
      </w:r>
      <w:r w:rsidR="00D66220">
        <w:rPr>
          <w:rFonts w:ascii="Arial"/>
        </w:rPr>
        <w:t>h</w:t>
      </w:r>
      <w:r>
        <w:rPr>
          <w:rFonts w:ascii="Arial"/>
        </w:rPr>
        <w:t>e practiced for 1 year in Australia before join</w:t>
      </w:r>
      <w:r w:rsidR="00D66220">
        <w:rPr>
          <w:rFonts w:ascii="Arial"/>
        </w:rPr>
        <w:t>ing</w:t>
      </w:r>
      <w:bookmarkStart w:id="0" w:name="_GoBack"/>
      <w:bookmarkEnd w:id="0"/>
      <w:r>
        <w:rPr>
          <w:rFonts w:ascii="Arial"/>
        </w:rPr>
        <w:t xml:space="preserve"> Emirates hospital group in Dubai in 2005.</w:t>
      </w:r>
    </w:p>
    <w:p w:rsidR="00936C1C" w:rsidRDefault="00936C1C" w:rsidP="00936C1C">
      <w:pPr>
        <w:spacing w:before="92"/>
        <w:ind w:right="4234"/>
        <w:rPr>
          <w:rFonts w:ascii="Arial"/>
        </w:rPr>
      </w:pPr>
    </w:p>
    <w:p w:rsidR="00936C1C" w:rsidRDefault="00936C1C" w:rsidP="00936C1C">
      <w:pPr>
        <w:spacing w:before="92"/>
        <w:ind w:right="4234"/>
        <w:rPr>
          <w:rFonts w:ascii="Arial"/>
        </w:rPr>
      </w:pPr>
      <w:r>
        <w:rPr>
          <w:rFonts w:ascii="Arial"/>
        </w:rPr>
        <w:t>Dr. Alhessi is a member of the American association of clinical endocrinologist (AACE)- the gulf chapter.</w:t>
      </w:r>
    </w:p>
    <w:p w:rsidR="00936C1C" w:rsidRDefault="00936C1C" w:rsidP="00936C1C">
      <w:pPr>
        <w:spacing w:before="92"/>
        <w:ind w:right="4234"/>
        <w:rPr>
          <w:rFonts w:ascii="Arial"/>
        </w:rPr>
      </w:pPr>
    </w:p>
    <w:p w:rsidR="00936C1C" w:rsidRDefault="00936C1C" w:rsidP="00936C1C">
      <w:pPr>
        <w:spacing w:before="92"/>
        <w:ind w:right="4234"/>
        <w:rPr>
          <w:rFonts w:ascii="Arial"/>
        </w:rPr>
      </w:pPr>
      <w:r>
        <w:rPr>
          <w:rFonts w:ascii="Arial"/>
        </w:rPr>
        <w:t>His major field of interest in diabetology is preventing complication and delaying its progression.</w:t>
      </w:r>
    </w:p>
    <w:p w:rsidR="002B284E" w:rsidRDefault="002B284E" w:rsidP="00404E5B">
      <w:pPr>
        <w:spacing w:before="92"/>
        <w:ind w:right="4234"/>
        <w:rPr>
          <w:rFonts w:ascii="Arial"/>
        </w:rPr>
      </w:pPr>
    </w:p>
    <w:p w:rsidR="00AE3E37" w:rsidRDefault="00A9710C" w:rsidP="00596F8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936C1C">
        <w:t xml:space="preserve"> alaa.alhessi@gmail.com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7040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CD02E3" w:rsidRDefault="00AE3E37" w:rsidP="00CD02E3">
      <w:pPr>
        <w:spacing w:before="39"/>
        <w:rPr>
          <w:rFonts w:ascii="Minion Pro"/>
          <w:b/>
          <w:sz w:val="20"/>
        </w:rPr>
        <w:sectPr w:rsidR="00AE3E37" w:rsidRPr="00CD02E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5A4" w:rsidRDefault="001005A4">
      <w:r>
        <w:separator/>
      </w:r>
    </w:p>
  </w:endnote>
  <w:endnote w:type="continuationSeparator" w:id="0">
    <w:p w:rsidR="001005A4" w:rsidRDefault="00100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5A4" w:rsidRDefault="001005A4">
      <w:r>
        <w:separator/>
      </w:r>
    </w:p>
  </w:footnote>
  <w:footnote w:type="continuationSeparator" w:id="0">
    <w:p w:rsidR="001005A4" w:rsidRDefault="00100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05A4"/>
    <w:rsid w:val="001263DF"/>
    <w:rsid w:val="00163FEB"/>
    <w:rsid w:val="00231877"/>
    <w:rsid w:val="00292ED9"/>
    <w:rsid w:val="002B284E"/>
    <w:rsid w:val="00404E5B"/>
    <w:rsid w:val="00414F7B"/>
    <w:rsid w:val="004355DC"/>
    <w:rsid w:val="004749B4"/>
    <w:rsid w:val="00494130"/>
    <w:rsid w:val="004D0DFD"/>
    <w:rsid w:val="004F3523"/>
    <w:rsid w:val="00596F80"/>
    <w:rsid w:val="005973B9"/>
    <w:rsid w:val="005B3A56"/>
    <w:rsid w:val="006060CE"/>
    <w:rsid w:val="0063497F"/>
    <w:rsid w:val="007E08EA"/>
    <w:rsid w:val="008065B3"/>
    <w:rsid w:val="00814990"/>
    <w:rsid w:val="00873DF0"/>
    <w:rsid w:val="008756E6"/>
    <w:rsid w:val="00936C1C"/>
    <w:rsid w:val="00950E78"/>
    <w:rsid w:val="009B2D44"/>
    <w:rsid w:val="00A07E82"/>
    <w:rsid w:val="00A9710C"/>
    <w:rsid w:val="00AE3E37"/>
    <w:rsid w:val="00B21A57"/>
    <w:rsid w:val="00BC515F"/>
    <w:rsid w:val="00C33602"/>
    <w:rsid w:val="00CD02E3"/>
    <w:rsid w:val="00CD6F55"/>
    <w:rsid w:val="00D20408"/>
    <w:rsid w:val="00D37E6A"/>
    <w:rsid w:val="00D66220"/>
    <w:rsid w:val="00D93ED5"/>
    <w:rsid w:val="00DD74FE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4F24B"/>
  <w15:docId w15:val="{6B1341CC-2FA2-49C2-9D94-17FBD24E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alaa.alhessi@outlook.com</cp:lastModifiedBy>
  <cp:revision>2</cp:revision>
  <dcterms:created xsi:type="dcterms:W3CDTF">2018-04-07T13:04:00Z</dcterms:created>
  <dcterms:modified xsi:type="dcterms:W3CDTF">2018-04-07T13:04:00Z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